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453e2baa54c0f" /></Relationships>
</file>

<file path=word/document.xml><?xml version="1.0" encoding="utf-8"?>
<w:document xmlns:w="http://schemas.openxmlformats.org/wordprocessingml/2006/main">
  <w:body>
    <w:p>
      <w:r>
        <w:t>H-1111.2</w:t>
      </w:r>
    </w:p>
    <w:p>
      <w:pPr>
        <w:jc w:val="center"/>
      </w:pPr>
      <w:r>
        <w:t>_______________________________________________</w:t>
      </w:r>
    </w:p>
    <w:p/>
    <w:p>
      <w:pPr>
        <w:jc w:val="center"/>
      </w:pPr>
      <w:r>
        <w:rPr>
          <w:b/>
        </w:rPr>
        <w:t>HOUSE BILL 1981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Ormsby, Slatter, Pollet, and Jinkins</w:t>
      </w:r>
    </w:p>
    <w:p/>
    <w:p>
      <w:r>
        <w:rPr>
          <w:t xml:space="preserve">Read first time 02/06/17.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estimating the effective tax rate of proposed ballot measures and legislation; amending RCW 29A.32.070; adding a new section to chapter 29A.72 RCW; and adding a new section to chapter 43.88A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u w:val="single"/>
        </w:rPr>
        <w:t xml:space="preserve">(1)</w:t>
      </w:r>
      <w:r>
        <w:rPr/>
        <w:t xml:space="preserve"> The secretary of state </w:t>
      </w:r>
      <w:r>
        <w:t>((</w:t>
      </w:r>
      <w:r>
        <w:rPr>
          <w:strike/>
        </w:rPr>
        <w:t xml:space="preserve">shall</w:t>
      </w:r>
      <w:r>
        <w:t>))</w:t>
      </w:r>
      <w:r>
        <w:rPr/>
        <w:t xml:space="preserve"> </w:t>
      </w:r>
      <w:r>
        <w:rPr>
          <w:u w:val="single"/>
        </w:rPr>
        <w:t xml:space="preserve">must</w:t>
      </w:r>
      <w:r>
        <w:rPr/>
        <w:t xml:space="preserve"> determine the format and layout of the voters' pamphlet published under RCW 29A.32.010. The secretary of state </w:t>
      </w:r>
      <w:r>
        <w:t>((</w:t>
      </w:r>
      <w:r>
        <w:rPr>
          <w:strike/>
        </w:rPr>
        <w:t xml:space="preserve">shall</w:t>
      </w:r>
      <w:r>
        <w:t>))</w:t>
      </w:r>
      <w:r>
        <w:rPr/>
        <w:t xml:space="preserve"> </w:t>
      </w:r>
      <w:r>
        <w:rPr>
          <w:u w:val="single"/>
        </w:rPr>
        <w:t xml:space="preserve">must</w:t>
      </w:r>
      <w:r>
        <w:rPr/>
        <w:t xml:space="preserve">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(2)</w:t>
      </w:r>
      <w:r>
        <w:rPr/>
        <w:t xml:space="preserve"> 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u w:val="single"/>
        </w:rPr>
        <w:t xml:space="preserve">(3)</w:t>
      </w:r>
      <w:r>
        <w:rPr/>
        <w:t xml:space="preserve"> The voters' pamphlet must provide the following information for each statewide issue on the ballot except measures for an advisory vote of the people whose requirements are provided in </w:t>
      </w:r>
      <w:r>
        <w:rPr>
          <w:u w:val="single"/>
        </w:rPr>
        <w:t xml:space="preserve">(l) of this</w:t>
      </w:r>
      <w:r>
        <w:rPr/>
        <w:t xml:space="preserve"> subsection </w:t>
      </w:r>
      <w:r>
        <w:t>((</w:t>
      </w:r>
      <w:r>
        <w:rPr>
          <w:strike/>
        </w:rPr>
        <w:t xml:space="preserve">(11) of this section</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legal identification of the measure by serial designation or number;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official ballot title of the measure;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statement prepared by the attorney general explaining the law as it presently exists;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statement prepared by the attorney general explaining the effect of the proposed measure if it becomes law;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fiscal impact statement prepared under RCW 29A.72.025;</w:t>
      </w:r>
    </w:p>
    <w:p>
      <w:pPr>
        <w:spacing w:before="0" w:after="0" w:line="408" w:lineRule="exact"/>
        <w:ind w:left="0" w:right="0" w:firstLine="576"/>
        <w:jc w:val="left"/>
      </w:pPr>
      <w:r>
        <w:t>((</w:t>
      </w:r>
      <w:r>
        <w:rPr>
          <w:strike/>
        </w:rPr>
        <w:t xml:space="preserve">(6)</w:t>
      </w:r>
      <w:r>
        <w:t>))</w:t>
      </w:r>
      <w:r>
        <w:rPr/>
        <w:t xml:space="preserve"> </w:t>
      </w:r>
      <w:r>
        <w:rPr>
          <w:u w:val="single"/>
        </w:rPr>
        <w:t xml:space="preserve">(f) The revenue equity statement prepared under section 2 of this act;</w:t>
      </w:r>
    </w:p>
    <w:p>
      <w:pPr>
        <w:spacing w:before="0" w:after="0" w:line="408" w:lineRule="exact"/>
        <w:ind w:left="0" w:right="0" w:firstLine="576"/>
        <w:jc w:val="left"/>
      </w:pPr>
      <w:r>
        <w:rPr>
          <w:u w:val="single"/>
        </w:rPr>
        <w:t xml:space="preserve">(g)</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(h)</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(i)</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(j)</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Two pages </w:t>
      </w:r>
      <w:r>
        <w:t>((</w:t>
      </w:r>
      <w:r>
        <w:rPr>
          <w:strike/>
        </w:rPr>
        <w:t xml:space="preserve">shall</w:t>
      </w:r>
      <w:r>
        <w:t>))</w:t>
      </w:r>
      <w:r>
        <w:rPr/>
        <w:t xml:space="preserve"> </w:t>
      </w:r>
      <w:r>
        <w:rPr>
          <w:u w:val="single"/>
        </w:rPr>
        <w:t xml:space="preserve">must</w:t>
      </w:r>
      <w:r>
        <w:rPr/>
        <w:t xml:space="preserve"> be provided in the general election voters' pamphlet for each measure for an advisory vote of the people under RCW 43.135.041 and </w:t>
      </w:r>
      <w:r>
        <w:t>((</w:t>
      </w:r>
      <w:r>
        <w:rPr>
          <w:strike/>
        </w:rPr>
        <w:t xml:space="preserve">shall</w:t>
      </w:r>
      <w:r>
        <w:t>))</w:t>
      </w:r>
      <w:r>
        <w:rPr/>
        <w:t xml:space="preserve"> </w:t>
      </w:r>
      <w:r>
        <w:rPr>
          <w:u w:val="single"/>
        </w:rPr>
        <w:t xml:space="preserve">must</w:t>
      </w:r>
      <w:r>
        <w:rPr/>
        <w:t xml:space="preserve">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office of financial management must prepare a revenue equity statement for each of the following state ballot measures:</w:t>
      </w:r>
    </w:p>
    <w:p>
      <w:pPr>
        <w:spacing w:before="0" w:after="0" w:line="408" w:lineRule="exact"/>
        <w:ind w:left="0" w:right="0" w:firstLine="576"/>
        <w:jc w:val="left"/>
      </w:pPr>
      <w:r>
        <w:rPr/>
        <w:t xml:space="preserve">(a) An initiative to the people that is certified to the ballot;</w:t>
      </w:r>
    </w:p>
    <w:p>
      <w:pPr>
        <w:spacing w:before="0" w:after="0" w:line="408" w:lineRule="exact"/>
        <w:ind w:left="0" w:right="0" w:firstLine="576"/>
        <w:jc w:val="left"/>
      </w:pPr>
      <w:r>
        <w:rPr/>
        <w:t xml:space="preserve">(b) An initiative to the legislature that is certified to the house of representatives and the senate;</w:t>
      </w:r>
    </w:p>
    <w:p>
      <w:pPr>
        <w:spacing w:before="0" w:after="0" w:line="408" w:lineRule="exact"/>
        <w:ind w:left="0" w:right="0" w:firstLine="576"/>
        <w:jc w:val="left"/>
      </w:pPr>
      <w:r>
        <w:rPr/>
        <w:t xml:space="preserve">(c) An alternative measure appearing on the ballot that the legislature proposes to an initiative to the legislature;</w:t>
      </w:r>
    </w:p>
    <w:p>
      <w:pPr>
        <w:spacing w:before="0" w:after="0" w:line="408" w:lineRule="exact"/>
        <w:ind w:left="0" w:right="0" w:firstLine="576"/>
        <w:jc w:val="left"/>
      </w:pPr>
      <w:r>
        <w:rPr/>
        <w:t xml:space="preserve">(d) A referendum bill referred to voters by the legislature; and</w:t>
      </w:r>
    </w:p>
    <w:p>
      <w:pPr>
        <w:spacing w:before="0" w:after="0" w:line="408" w:lineRule="exact"/>
        <w:ind w:left="0" w:right="0" w:firstLine="576"/>
        <w:jc w:val="left"/>
      </w:pPr>
      <w:r>
        <w:rPr/>
        <w:t xml:space="preserve">(e) A referendum measure appearing on the ballot.</w:t>
      </w:r>
    </w:p>
    <w:p>
      <w:pPr>
        <w:spacing w:before="0" w:after="0" w:line="408" w:lineRule="exact"/>
        <w:ind w:left="0" w:right="0" w:firstLine="576"/>
        <w:jc w:val="left"/>
      </w:pPr>
      <w:r>
        <w:rPr/>
        <w:t xml:space="preserve">(2) The revenue equity statement must describe the projections for how the ballot measure would affect any projected increase or decrease in the average effective tax rate imposed directly or indirectly on Washington residents in excess of 0.05 percent of family income for any family income quintile. Each statement must include:</w:t>
      </w:r>
    </w:p>
    <w:p>
      <w:pPr>
        <w:spacing w:before="0" w:after="0" w:line="408" w:lineRule="exact"/>
        <w:ind w:left="0" w:right="0" w:firstLine="576"/>
        <w:jc w:val="left"/>
      </w:pPr>
      <w:r>
        <w:rPr/>
        <w:t xml:space="preserve">(a) The estimated average effective tax rate, expressed as a percentage of household income, imposed by each family income quintile;</w:t>
      </w:r>
    </w:p>
    <w:p>
      <w:pPr>
        <w:spacing w:before="0" w:after="0" w:line="408" w:lineRule="exact"/>
        <w:ind w:left="0" w:right="0" w:firstLine="576"/>
        <w:jc w:val="left"/>
      </w:pPr>
      <w:r>
        <w:rPr/>
        <w:t xml:space="preserve">(b) Similar estimates within the top fifteenth percentile, fourth percentile, first percentile, and 0.1 percentile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 and</w:t>
      </w:r>
    </w:p>
    <w:p>
      <w:pPr>
        <w:spacing w:before="0" w:after="0" w:line="408" w:lineRule="exact"/>
        <w:ind w:left="0" w:right="0" w:firstLine="576"/>
        <w:jc w:val="left"/>
      </w:pPr>
      <w:r>
        <w:rPr/>
        <w:t xml:space="preserve">(d) A summary of the ballot measure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Revenue equity statements must be written in clear and concise language, avoid legal and technical terms when possible, and be filed with the secretary of state no later than the tenth day of August for a ballot measure to the people, or no later than the first day of the legislative session for which an initiative to the legislature has been submitted. Revenue equity statements may include easily understood graphics. Revenue equity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t xml:space="preserve">(4) For the purposes of this section "effective tax rate" includes fees that apply broadly to the majority of Washington residents as well as revenue measures that are identified as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 The director of financial management, in consultation with the legislature, the department of revenue, and any other appropriate state or local agency, must establish a procedure for the provision of a tax rate equity statement for legislative bills that describes how the bill would affect any projected increase or decrease in the average effective tax rate imposed directly or indirectly on Washington residents in excess of 0.05 percent of family income for any family income quintile.</w:t>
      </w:r>
    </w:p>
    <w:p>
      <w:pPr>
        <w:spacing w:before="0" w:after="0" w:line="408" w:lineRule="exact"/>
        <w:ind w:left="0" w:right="0" w:firstLine="576"/>
        <w:jc w:val="left"/>
      </w:pPr>
      <w:r>
        <w:rPr/>
        <w:t xml:space="preserve">(2) Each statement must include:</w:t>
      </w:r>
    </w:p>
    <w:p>
      <w:pPr>
        <w:spacing w:before="0" w:after="0" w:line="408" w:lineRule="exact"/>
        <w:ind w:left="0" w:right="0" w:firstLine="576"/>
        <w:jc w:val="left"/>
      </w:pPr>
      <w:r>
        <w:rPr/>
        <w:t xml:space="preserve">(a) The estimated average effective tax rate, expressed as a percentage of household income, imposed by each family income quintile;</w:t>
      </w:r>
    </w:p>
    <w:p>
      <w:pPr>
        <w:spacing w:before="0" w:after="0" w:line="408" w:lineRule="exact"/>
        <w:ind w:left="0" w:right="0" w:firstLine="576"/>
        <w:jc w:val="left"/>
      </w:pPr>
      <w:r>
        <w:rPr/>
        <w:t xml:space="preserve">(b) Similar estimates for the top fifteenth percentile, fourth percentile, first percentile, and 0.1 percentile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 and</w:t>
      </w:r>
    </w:p>
    <w:p>
      <w:pPr>
        <w:spacing w:before="0" w:after="0" w:line="408" w:lineRule="exact"/>
        <w:ind w:left="0" w:right="0" w:firstLine="576"/>
        <w:jc w:val="left"/>
      </w:pPr>
      <w:r>
        <w:rPr/>
        <w:t xml:space="preserve">(d) A summary of the bill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For the purposes of this section "effective tax rate" includes fees that apply broadly to the majority of Washington residents as well as revenue measures that are identified as taxes.</w:t>
      </w:r>
    </w:p>
    <w:p/>
    <w:p>
      <w:pPr>
        <w:jc w:val="center"/>
      </w:pPr>
      <w:r>
        <w:rPr>
          <w:b/>
        </w:rPr>
        <w:t>--- END ---</w:t>
      </w:r>
    </w:p>
    <w:sectPr>
      <w:pgNumType w:start="1"/>
      <w:footerReference xmlns:r="http://schemas.openxmlformats.org/officeDocument/2006/relationships" r:id="Rd9f8649ebaf14d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aa4212516c4926" /><Relationship Type="http://schemas.openxmlformats.org/officeDocument/2006/relationships/footer" Target="/word/footer.xml" Id="Rd9f8649ebaf14d85" /></Relationships>
</file>