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42b0037e2f46f4" /></Relationships>
</file>

<file path=word/document.xml><?xml version="1.0" encoding="utf-8"?>
<w:document xmlns:w="http://schemas.openxmlformats.org/wordprocessingml/2006/main">
  <w:body>
    <w:p>
      <w:r>
        <w:t>H-2383.1</w:t>
      </w:r>
    </w:p>
    <w:p>
      <w:pPr>
        <w:jc w:val="center"/>
      </w:pPr>
      <w:r>
        <w:t>_______________________________________________</w:t>
      </w:r>
    </w:p>
    <w:p/>
    <w:p>
      <w:pPr>
        <w:jc w:val="center"/>
      </w:pPr>
      <w:r>
        <w:rPr>
          <w:b/>
        </w:rPr>
        <w:t>HOUSE BILL 2168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Rodne, Irwin, Graves, Orcutt, Pike, McDonald, Hargrove, Stambaugh, and Muri</w:t>
      </w:r>
    </w:p>
    <w:p/>
    <w:p>
      <w:r>
        <w:rPr>
          <w:t xml:space="preserve">Read first time 03/20/17.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motor vehicle excise taxes by regional transit authorities; amending RCW 82.44.135, 81.104.160, 82.44.035, and 81.104.190;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w:t>
      </w:r>
      <w:r>
        <w:rPr>
          <w:u w:val="single"/>
        </w:rPr>
        <w:t xml:space="preserve"> the tax is based solely on the vehicle valuation method identified in RCW 81.104.160(1)(a)(ii).</w:t>
      </w:r>
    </w:p>
    <w:p>
      <w:pPr>
        <w:spacing w:before="0" w:after="0" w:line="408" w:lineRule="exact"/>
        <w:ind w:left="0" w:right="0" w:firstLine="576"/>
        <w:jc w:val="left"/>
      </w:pPr>
      <w:r>
        <w:rPr>
          <w:u w:val="single"/>
        </w:rPr>
        <w:t xml:space="preserve">(3) Any contract entered into under this section must provide that the department will receive amounts sufficient to fully cover the costs applicable to the tax collection process, including (a) customer service-related costs, (b) information technology-related costs, (c) public announcement and education costs, and (d) any liability or other related risk assessment costs. The contract must also provide that any unforeseen future administrative costs will be borne by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w:t>
      </w:r>
      <w:r>
        <w:t>))</w:t>
      </w:r>
    </w:p>
    <w:p>
      <w:pPr>
        <w:spacing w:before="0" w:after="0" w:line="408" w:lineRule="exact"/>
        <w:ind w:left="0" w:right="0" w:firstLine="576"/>
        <w:jc w:val="left"/>
      </w:pPr>
      <w:r>
        <w:rPr>
          <w:u w:val="single"/>
        </w:rPr>
        <w:t xml:space="preserve">(i) Except as otherwise provided in (a)(ii) of this subsection</w:t>
      </w:r>
      <w:r>
        <w:rPr/>
        <w:t xml:space="preserve">,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(ii) As an alternative to the vehicle valuation method described in (a)(i) of this subsection, for the purpose of determining a motor vehicle excise tax imposed by a regional transit authority under this subsection (1)(a), the value of a motor vehicle must be based on base model Kelley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applies to a motor vehicle excise tax imposed by a regional transit authority only to the extent described in RCW 81.104.160(1)(a)(i). This section does not apply to a motor vehicle excise tax imposed by a regional transit authority under RCW 81.104.160(1)(a)(ii).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Except as otherwise provided in RCW 82.44.135, c</w:t>
      </w:r>
      <w:r>
        <w:rPr/>
        <w:t xml:space="preserve">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56462e14ad41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e45d04ea74e93" /><Relationship Type="http://schemas.openxmlformats.org/officeDocument/2006/relationships/footer" Target="/word/footer.xml" Id="Rc856462e14ad41d2" /></Relationships>
</file>