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5ecf0aeff464b" /></Relationships>
</file>

<file path=word/document.xml><?xml version="1.0" encoding="utf-8"?>
<w:document xmlns:w="http://schemas.openxmlformats.org/wordprocessingml/2006/main">
  <w:body>
    <w:p>
      <w:r>
        <w:t>H-2411.2</w:t>
      </w:r>
    </w:p>
    <w:p>
      <w:pPr>
        <w:jc w:val="center"/>
      </w:pPr>
      <w:r>
        <w:t>_______________________________________________</w:t>
      </w:r>
    </w:p>
    <w:p/>
    <w:p>
      <w:pPr>
        <w:jc w:val="center"/>
      </w:pPr>
      <w:r>
        <w:rPr>
          <w:b/>
        </w:rPr>
        <w:t>HOUSE BILL 2173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and Koster</w:t>
      </w:r>
    </w:p>
    <w:p/>
    <w:p>
      <w:r>
        <w:rPr>
          <w:t xml:space="preserve">Read first time 03/22/17.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drop box accessibility; amending RCW 29A.40.160; and adding a new section to chapter 29A.40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0" w:after="0" w:line="408" w:lineRule="exact"/>
        <w:ind w:left="0" w:right="0" w:firstLine="576"/>
        <w:jc w:val="left"/>
      </w:pPr>
      <w:r>
        <w:rPr>
          <w:u w:val="single"/>
        </w:rPr>
        <w:t xml:space="preserve">(16) By 2027, the county auditor must establish a minimum of one ballot drop box per thirty thousand registered voters in the county with preference given to establishing a minimum of one ballot drop box in each city, town, and census-designated place with a post office in the county.</w:t>
      </w:r>
    </w:p>
    <w:p>
      <w:pPr>
        <w:spacing w:before="0" w:after="0" w:line="408" w:lineRule="exact"/>
        <w:ind w:left="0" w:right="0" w:firstLine="576"/>
        <w:jc w:val="left"/>
      </w:pPr>
      <w:r>
        <w:rPr>
          <w:u w:val="single"/>
        </w:rPr>
        <w:t xml:space="preserve">(17) The county auditor is authorized to place a ballot drop box at any public school, public library, or fire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state is responsible for the cost of obtaining, siting, maintaining, and operating ballot drop boxes for all elections. The county auditor must certify the cost and file expense claims to the office of the secretary of state.</w:t>
      </w:r>
    </w:p>
    <w:p>
      <w:pPr>
        <w:spacing w:before="0" w:after="0" w:line="408" w:lineRule="exact"/>
        <w:ind w:left="0" w:right="0" w:firstLine="576"/>
        <w:jc w:val="left"/>
      </w:pPr>
      <w:r>
        <w:rPr/>
        <w:t xml:space="preserve">(2) Each county auditor must submit a request with the office of the secretary of state by December 1st for any new ballot drop boxes the county is requesting for the following year. The secretary of state may agree to reimburse the county for the costs of providing any new ballot drop boxes or contract with a third party to fulfill all or some of the counties' requests.</w:t>
      </w:r>
    </w:p>
    <w:p>
      <w:pPr>
        <w:spacing w:before="0" w:after="0" w:line="408" w:lineRule="exact"/>
        <w:ind w:left="0" w:right="0" w:firstLine="576"/>
        <w:jc w:val="left"/>
      </w:pPr>
      <w:r>
        <w:rPr/>
        <w:t xml:space="preserve">(3) The secretary of state must include in his or her budget requests sufficient funds to carry out this section. Payments for ballot drop box costs must be from appropriations specifically provided by law for that purpose.</w:t>
      </w:r>
    </w:p>
    <w:p/>
    <w:p>
      <w:pPr>
        <w:jc w:val="center"/>
      </w:pPr>
      <w:r>
        <w:rPr>
          <w:b/>
        </w:rPr>
        <w:t>--- END ---</w:t>
      </w:r>
    </w:p>
    <w:sectPr>
      <w:pgNumType w:start="1"/>
      <w:footerReference xmlns:r="http://schemas.openxmlformats.org/officeDocument/2006/relationships" r:id="R327911dab87346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38b85188e41ae" /><Relationship Type="http://schemas.openxmlformats.org/officeDocument/2006/relationships/footer" Target="/word/footer.xml" Id="R327911dab8734667" /></Relationships>
</file>