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c76d0ef58400f" /></Relationships>
</file>

<file path=word/document.xml><?xml version="1.0" encoding="utf-8"?>
<w:document xmlns:w="http://schemas.openxmlformats.org/wordprocessingml/2006/main">
  <w:body>
    <w:p>
      <w:r>
        <w:t>H-2452.2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2190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>
      <w:r>
        <w:rPr>
          <w:t xml:space="preserve">Read first time 03/29/17.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budget stabilization account transfers; and amending RCW 43.79.496.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79</w:t>
      </w:r>
      <w:r>
        <w:rPr/>
        <w:t xml:space="preserve">.</w:t>
      </w:r>
      <w:r>
        <w:t xml:space="preserve">496</w:t>
      </w:r>
      <w:r>
        <w:rPr/>
        <w:t xml:space="preserve"> and 2015 3rd sp.s. c 2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June 30, 2015, the treasurer shall transfer into the state general fund the entire budget stabilization account deposit for the 2013-2015 fiscal biennium that is attributable to extraordinary revenue growth, not to exceed fifty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During the 2015-2017 fiscal biennium, the treasurer shall transfer into the state general fund the entire budget stabilization account deposit for the 2015-2017 fiscal biennium that is attributable to extraordinary revenue growth</w:t>
      </w:r>
      <w:r>
        <w:t>((</w:t>
      </w:r>
      <w:r>
        <w:rPr>
          <w:strike/>
        </w:rPr>
        <w:t xml:space="preserve">, not to exceed seventy-five million dollars.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(3) During the 2017-2019 fiscal biennium, the treasurer shall transfer into the state general fund the entire budget stabilization account deposit for the 2017-2019 fiscal biennium that is attributable to extraordinary revenue growth, not to exceed five hundred fifty million dollars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 For purposes of RCW 43.88.055(4), the transfers in this section do not alter the requirement to balance in ensuing biennia.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4c1d23764bf4e0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2190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21012985742fd" /><Relationship Type="http://schemas.openxmlformats.org/officeDocument/2006/relationships/footer" Target="/word/footer.xml" Id="Rd4c1d23764bf4e0f" /></Relationships>
</file>