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d2dc539857447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2222</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House Health Care &amp; Wellness (originally sponsored by Representatives Cody and Manweller;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information obtained to develop or implement an individual health insurance market stability program; reenacting and amending RCW 42.56.400; adding a new section to chapter 48.02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For the purposes of developing or implementing an individual health insurance market stability program, any reports, data, documents, or materials that health carriers submit to or receive from the United States department of health and human services as part of any health and human services operated risk adjustment or reinsurance program, or that the Washington state health insurance pool, established under chapter 48.41 RCW, prepares for purposes of this section that are obtained by, disclosed to, or in the custody of the commissioner, regardless of the form or medium, are confidential and are not subject to public disclosure under chapter 42.56 RCW. The commissioner shall not disclose these reports, data, documents, or materials except in the furtherance of developing and implementing an individual health insurance market stability program.</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 health and human services operated risk adjustment or reinsurance program is any of the health insurance risk adjustment or reinsurance programs established under 42 U.S.C. Secs. 18061 and 18063. The reports, data, documents, and materials that are confidential under this section include all data and information carriers are required to provide to health and human services through the dedicated data environments required by 45 C.F.R. Sec. 153.700 et seq. for all health carriers participating in any health and human services health insurance risk adjustment or reinsurance program; and</w:t>
      </w:r>
    </w:p>
    <w:p>
      <w:pPr>
        <w:spacing w:before="0" w:after="0" w:line="408" w:lineRule="exact"/>
        <w:ind w:left="0" w:right="0" w:firstLine="576"/>
        <w:jc w:val="left"/>
      </w:pPr>
      <w:r>
        <w:rPr/>
        <w:t xml:space="preserve">(b) "Health carrier" has the same meaning as in RCW 48.43.005.</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contractors conducting actuarial, economic, or other analyses necessary to develop or implement an individual health insurance market stability program.</w:t>
      </w:r>
    </w:p>
    <w:p>
      <w:pPr>
        <w:spacing w:before="0" w:after="0" w:line="408" w:lineRule="exact"/>
        <w:ind w:left="0" w:right="0" w:firstLine="576"/>
        <w:jc w:val="left"/>
      </w:pPr>
      <w:r>
        <w:rPr/>
        <w:t xml:space="preserve">(b)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Nothing in this section may be construed to authorize the commissioner to submit a complete application to the federal government for a waiver of any provision of federal law, including the federal patient protection and affordable care act, P.L. 111-148, as amended by the federal health care and education reconciliation act, P.L. 111-152, or federal regulations or guidance issued under the affordable care act. The commissioner shall provide the joint select committee on health care oversight established by RCW 44.82.010 with a progress report prior to submitting a draft waiver application to the federal government.</w:t>
      </w:r>
    </w:p>
    <w:p>
      <w:pPr>
        <w:spacing w:before="0" w:after="0" w:line="408" w:lineRule="exact"/>
        <w:ind w:left="0" w:right="0" w:firstLine="576"/>
        <w:jc w:val="left"/>
      </w:pPr>
      <w:r>
        <w:rPr/>
        <w:t xml:space="preserve">(6) Reports, data, documents, and materials subject to this section are those obtained by the commissioner as of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Data, information, and documents obtained by the insurance commissioner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ca72d7861e747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21f15a8a34273" /><Relationship Type="http://schemas.openxmlformats.org/officeDocument/2006/relationships/footer" Target="/word/footer.xml" Id="Raca72d7861e7476f" /></Relationships>
</file>