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3663727caa40a5" /></Relationships>
</file>

<file path=word/document.xml><?xml version="1.0" encoding="utf-8"?>
<w:document xmlns:w="http://schemas.openxmlformats.org/wordprocessingml/2006/main">
  <w:body>
    <w:p>
      <w:r>
        <w:t>H-2843.2</w:t>
      </w:r>
    </w:p>
    <w:p>
      <w:pPr>
        <w:jc w:val="center"/>
      </w:pPr>
      <w:r>
        <w:t>_______________________________________________</w:t>
      </w:r>
    </w:p>
    <w:p/>
    <w:p>
      <w:pPr>
        <w:jc w:val="center"/>
      </w:pPr>
      <w:r>
        <w:rPr>
          <w:b/>
        </w:rPr>
        <w:t>HOUSE BILL 2231</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Pike, Haler, Sells, Van Werven, J. Walsh, Dent, and Kraft</w:t>
      </w:r>
    </w:p>
    <w:p/>
    <w:p>
      <w:r>
        <w:rPr>
          <w:t xml:space="preserve">Read first time 06/26/17.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and 36.70A.108;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Rail-served business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The legislature affirms that it is smart planning for economic development infrastructure to be placed near rail lines as a means to alleviate strains on government infrastructure elsewhere. Allowing rail dependent development provides opportunities for new jobs. Therefore, the legislature directs counties and cities to improve their planning under the growth management act to provide much needed infrastructure for freight rail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w:t>
      </w:r>
      <w:r>
        <w:rPr>
          <w:u w:val="single"/>
        </w:rPr>
        <w:t xml:space="preserve">access to railroad lines,</w:t>
      </w:r>
      <w:r>
        <w:rPr/>
        <w:t xml:space="preserve">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Counties and cities may adopt development regulations to assure that agriculture, forest, and mineral resource lands adjacent to short line railroads may be developed for freight rail dependent uses in accordance with the provisions of RCW 36.70A.108(2).</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c 331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t xml:space="preserve"> </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may include the provisions in section 3 of this act.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rail dependent uses on land adjacent to a short line railroad in counties, and cities within those counties, (a) located to the west of the crest of the Cascade mountains that have both a population of at least two hundred forty thousand and a border that touches another state, or (b) that have a total land area of at least five thousand square miles.</w:t>
      </w:r>
      <w:r>
        <w:rPr>
          <w:u w:val="single"/>
        </w:rPr>
        <w:t xml:space="preserve"> Development regulations may be modified to include development of freight rail dependent uses that do not require urban governmental services in rural lands or can be served by proximate connection to urban governmental services that exist in rural lands.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
      <w:pPr>
        <w:jc w:val="center"/>
      </w:pPr>
      <w:r>
        <w:rPr>
          <w:b/>
        </w:rPr>
        <w:t>--- END ---</w:t>
      </w:r>
    </w:p>
    <w:sectPr>
      <w:pgNumType w:start="1"/>
      <w:footerReference xmlns:r="http://schemas.openxmlformats.org/officeDocument/2006/relationships" r:id="R0db85679fd5c4c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ee442586754e58" /><Relationship Type="http://schemas.openxmlformats.org/officeDocument/2006/relationships/footer" Target="/word/footer.xml" Id="R0db85679fd5c4cee" /></Relationships>
</file>