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db20be6f3244c9" /></Relationships>
</file>

<file path=word/document.xml><?xml version="1.0" encoding="utf-8"?>
<w:document xmlns:w="http://schemas.openxmlformats.org/wordprocessingml/2006/main">
  <w:body>
    <w:p>
      <w:r>
        <w:t>H-2939.1</w:t>
      </w:r>
    </w:p>
    <w:p>
      <w:pPr>
        <w:jc w:val="center"/>
      </w:pPr>
      <w:r>
        <w:t>_______________________________________________</w:t>
      </w:r>
    </w:p>
    <w:p/>
    <w:p>
      <w:pPr>
        <w:jc w:val="center"/>
      </w:pPr>
      <w:r>
        <w:rPr>
          <w:b/>
        </w:rPr>
        <w:t>HOUSE BILL 2243</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McCaslin and Barkis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that serves students from a rural area and an urban area so long as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collocated on an existing school site, taking into consideration the policy adopted in (a) of this subsection and the extent to which vacant or developable land within the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the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utility.</w:t>
      </w:r>
    </w:p>
    <w:p>
      <w:pPr>
        <w:spacing w:before="0" w:after="0" w:line="408" w:lineRule="exact"/>
        <w:ind w:left="0" w:right="0" w:firstLine="576"/>
        <w:jc w:val="left"/>
      </w:pPr>
      <w:r>
        <w:rPr/>
        <w:t xml:space="preserve">(4) By December 1, 2023, the department shall report to the governor and the appropriate committees of the legislature about schools outside of urban growth areas that have been built, are under construction, or are planned as a result of the requirements of this act. The report shall include the number, location, and characteristics of the schools; the number of urban and rural students served; and a cost analysis of schools built outside of urban growth boundaries.</w:t>
      </w:r>
    </w:p>
    <w:p/>
    <w:p>
      <w:pPr>
        <w:jc w:val="center"/>
      </w:pPr>
      <w:r>
        <w:rPr>
          <w:b/>
        </w:rPr>
        <w:t>--- END ---</w:t>
      </w:r>
    </w:p>
    <w:sectPr>
      <w:pgNumType w:start="1"/>
      <w:footerReference xmlns:r="http://schemas.openxmlformats.org/officeDocument/2006/relationships" r:id="Rcb3446a85abf4d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c8fd05dac48f4" /><Relationship Type="http://schemas.openxmlformats.org/officeDocument/2006/relationships/footer" Target="/word/footer.xml" Id="Rcb3446a85abf4de1" /></Relationships>
</file>