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d2ec403cf64278" /></Relationships>
</file>

<file path=word/document.xml><?xml version="1.0" encoding="utf-8"?>
<w:document xmlns:w="http://schemas.openxmlformats.org/wordprocessingml/2006/main">
  <w:body>
    <w:p>
      <w:r>
        <w:t>H-3426.1</w:t>
      </w:r>
    </w:p>
    <w:p>
      <w:pPr>
        <w:jc w:val="center"/>
      </w:pPr>
      <w:r>
        <w:t>_______________________________________________</w:t>
      </w:r>
    </w:p>
    <w:p/>
    <w:p>
      <w:pPr>
        <w:jc w:val="center"/>
      </w:pPr>
      <w:r>
        <w:rPr>
          <w:b/>
        </w:rPr>
        <w:t>HOUSE BILL 2339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Condotta, Tarleton, Muri, and Doglio</w:t>
      </w:r>
    </w:p>
    <w:p/>
    <w:p>
      <w:r>
        <w:rPr>
          <w:t xml:space="preserve">Prefiled 12/28/17.</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purchase of all electric truck tractor vehicles; adding a new section to chapter 82.08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a review finds that at least ten electric truck tractors were purchased by businesses as the result of the tax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Persons, who purchase an all electric truck tractor as defined in RCW 46.04.655 and who have paid a tax levied by RCW 82.08.020 on the purchase, may claim an exemption of up to ten thousand dollars from state tax in the form of a remittance.</w:t>
      </w:r>
    </w:p>
    <w:p>
      <w:pPr>
        <w:spacing w:before="0" w:after="0" w:line="408" w:lineRule="exact"/>
        <w:ind w:left="0" w:right="0" w:firstLine="576"/>
        <w:jc w:val="left"/>
      </w:pPr>
      <w:r>
        <w:rPr/>
        <w:t xml:space="preserve">(2) A person claiming an exemption from state tax in the form of a remittance must pay the tax imposed under RCW 82.08.020 before applying to the department for remittance for all or part of the tax paid under RCW 82.08.020.</w:t>
      </w:r>
    </w:p>
    <w:p>
      <w:pPr>
        <w:spacing w:before="0" w:after="0" w:line="408" w:lineRule="exact"/>
        <w:ind w:left="0" w:right="0" w:firstLine="576"/>
        <w:jc w:val="left"/>
      </w:pPr>
      <w:r>
        <w:rPr/>
        <w:t xml:space="preserve">(3) The claim for remittance under this section must be done in the form and manner required by the department by rule, specifying the amount of the exempted tax claimed and the qualifying purchase or acquisition for which the exemption is claimed. The buyer must retain information in adequate detail to enable the department to determine whether the truck tractor purchased meets the criteria under this section.</w:t>
      </w:r>
    </w:p>
    <w:p>
      <w:pPr>
        <w:spacing w:before="0" w:after="0" w:line="408" w:lineRule="exact"/>
        <w:ind w:left="0" w:right="0" w:firstLine="576"/>
        <w:jc w:val="left"/>
      </w:pPr>
      <w:r>
        <w:rPr/>
        <w:t xml:space="preserve">(4) The department must determine eligibility under this section based on information provided by the buyer and through audit and other administrative records.</w:t>
      </w:r>
    </w:p>
    <w:p/>
    <w:p>
      <w:pPr>
        <w:jc w:val="center"/>
      </w:pPr>
      <w:r>
        <w:rPr>
          <w:b/>
        </w:rPr>
        <w:t>--- END ---</w:t>
      </w:r>
    </w:p>
    <w:sectPr>
      <w:pgNumType w:start="1"/>
      <w:footerReference xmlns:r="http://schemas.openxmlformats.org/officeDocument/2006/relationships" r:id="R4e4168ced17f42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454d6b62fc4a10" /><Relationship Type="http://schemas.openxmlformats.org/officeDocument/2006/relationships/footer" Target="/word/footer.xml" Id="R4e4168ced17f420f" /></Relationships>
</file>