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f7d00ca6dc4c18" /></Relationships>
</file>

<file path=word/document.xml><?xml version="1.0" encoding="utf-8"?>
<w:document xmlns:w="http://schemas.openxmlformats.org/wordprocessingml/2006/main">
  <w:body>
    <w:p>
      <w:r>
        <w:t>H-3466.1</w:t>
      </w:r>
    </w:p>
    <w:p>
      <w:pPr>
        <w:jc w:val="center"/>
      </w:pPr>
      <w:r>
        <w:t>_______________________________________________</w:t>
      </w:r>
    </w:p>
    <w:p/>
    <w:p>
      <w:pPr>
        <w:jc w:val="center"/>
      </w:pPr>
      <w:r>
        <w:rPr>
          <w:b/>
        </w:rPr>
        <w:t>HOUSE BILL 2347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Smith, Haler, and Young</w:t>
      </w:r>
    </w:p>
    <w:p/>
    <w:p>
      <w:r>
        <w:rPr>
          <w:t xml:space="preserve">Prefiled 12/29/17.</w:t>
        </w:rPr>
      </w:r>
      <w:r>
        <w:rPr>
          <w:t xml:space="preserve">Read first time 01/08/18.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electric utilities to provide reports on the lowest cost, lowest risk options for a transition to a zero-carbon electric grid; amending RCW 19.280.030; reenacting and amending RCW 19.280.020;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and policymakers would benefit from periodically updated disclosures from each utility on the costs, risks, and benefits of deep decarbonization for the utility that serves them. The legislature finds such disclosures would provide information that would improve public dialogue on how to best achieve deep decarbonization of our economy at the lowest cost to ratepayers. Therefore, the legislature intends to update the requirements of the integrated resource planning process to inform lawmakers and the public about the long-term strategies of the state's electric utilities.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020</w:t>
      </w:r>
      <w:r>
        <w:rPr/>
        <w:t xml:space="preserve"> and 2015 3rd sp.s. c 19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"Combined heat and power" means the sequential production of electricity and useful thermal energy from a common fuel source where, under normal operating conditions, the facility has a useful thermal energy output of no less than thirty-three percent of the total energy output.</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(4) "Consumer</w:t>
      </w:r>
      <w:r>
        <w:rPr/>
        <w:noBreakHyphen/>
      </w:r>
      <w:r>
        <w:rPr/>
        <w:t xml:space="preserve">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w:t>
      </w:r>
      <w:r>
        <w:rPr/>
        <w:noBreakHyphen/>
      </w:r>
      <w:r>
        <w:rPr/>
        <w:t xml:space="preserve">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"Electric utility" means a consumer</w:t>
      </w:r>
      <w:r>
        <w:rPr/>
        <w:noBreakHyphen/>
      </w:r>
      <w:r>
        <w:rPr/>
        <w:t xml:space="preserve">owned or investor</w:t>
      </w:r>
      <w:r>
        <w:rPr/>
        <w:noBreakHyphen/>
      </w:r>
      <w:r>
        <w:rPr/>
        <w:t xml:space="preserve">owned utility.</w:t>
      </w:r>
    </w:p>
    <w:p>
      <w:pPr>
        <w:spacing w:before="0" w:after="0" w:line="408" w:lineRule="exact"/>
        <w:ind w:left="0" w:right="0" w:firstLine="576"/>
        <w:jc w:val="left"/>
      </w:pPr>
      <w:r>
        <w:rPr/>
        <w:t xml:space="preserve">(7) "Full requirements customer" means an electric utility that relies on the Bonneville power administration for all power needed to supply its total load requirement other than that served by nondispatchable generating resources totaling no more than six megawatts or renewable resources.</w:t>
      </w:r>
    </w:p>
    <w:p>
      <w:pPr>
        <w:spacing w:before="0" w:after="0" w:line="408" w:lineRule="exact"/>
        <w:ind w:left="0" w:right="0" w:firstLine="576"/>
        <w:jc w:val="left"/>
      </w:pPr>
      <w:r>
        <w:rPr/>
        <w:t xml:space="preserve">(8) "Governing body" means the elected board of directors, city council, commissioners, or board of any consumer</w:t>
      </w:r>
      <w:r>
        <w:rPr/>
        <w:noBreakHyphen/>
      </w:r>
      <w:r>
        <w:rPr/>
        <w:t xml:space="preserve">owned utility.</w:t>
      </w:r>
    </w:p>
    <w:p>
      <w:pPr>
        <w:spacing w:before="0" w:after="0" w:line="408" w:lineRule="exact"/>
        <w:ind w:left="0" w:right="0" w:firstLine="576"/>
        <w:jc w:val="left"/>
      </w:pPr>
      <w:r>
        <w:rPr/>
        <w:t xml:space="preserve">(9) </w:t>
      </w:r>
      <w:r>
        <w:rPr>
          <w:u w:val="single"/>
        </w:rPr>
        <w:t xml:space="preserve">"Greenhouse gas" includes carbon dioxide, methane, nitrous oxide, hydrofluorocarbons, perfluorocarbons, and sulfur hexafluoride.</w:t>
      </w:r>
    </w:p>
    <w:p>
      <w:pPr>
        <w:spacing w:before="0" w:after="0" w:line="408" w:lineRule="exact"/>
        <w:ind w:left="0" w:right="0" w:firstLine="576"/>
        <w:jc w:val="left"/>
      </w:pPr>
      <w:r>
        <w:rPr>
          <w:u w:val="single"/>
        </w:rPr>
        <w:t xml:space="preserve">(10)</w:t>
      </w:r>
      <w:r>
        <w:rPr/>
        <w:t xml:space="preserve"> "Integrated resource plan" means an analysis describing the mix of generating resources, conservation, methods, 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"Investor</w:t>
      </w:r>
      <w:r>
        <w:rPr/>
        <w:noBreakHyphen/>
      </w:r>
      <w:r>
        <w:rPr/>
        <w:t xml:space="preserve">owned utility" means a corporation owned by investors that meets the definition in RCW 80.04.010 and is engaged in distributing electricity to more than one retail electric customer in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"Lowest reasonable cost" means the lowest cost mix of generating resources and conservation and efficiency resources determined through a detailed and consistent analysis of a wide range of commercially available resources. At a minimum, this analysis must consider resource cost, market-volatility risks, demand-side resource uncertainties, resource dispatchability, resource effect on system operation, the risks imposed on the utility and its ratepayers, public policies regarding resource preference adopted by Washington state or the federal government, and the cost of risks associated with environmental effects including emissions of carbon dioxide.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"Overgeneration event" means an event within an operating period of a balancing authority when the electricity supply, including generation from intermittent renewable resources, exceeds the demand for electricity for that utility's energy delivery obligations and when there is a negatively priced regional market.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"Plan" means either an "integrated resource plan" or a "resource plan."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"Renewable resources" means electricity generation facilities fueled by: (a) Water; (b) wind; (c) solar energy; (d) geothermal energy; (e) landfill gas; (f) biomass energy utilizing animal waste, solid or liquid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 (g) by-products of pulping or wood manufacturing processes, including but not limited to bark, wood chips, sawdust, and lignin in spent pulping liquors; (h) ocean thermal, wave, or tidal power; or (i) gas from sewage treatment facilities.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"Resource plan" means an assessment that estimates electricity loads and resources over a defined period of time and complies with the requirements in RCW 19.280.030(2).</w:t>
      </w:r>
    </w:p>
    <w:p>
      <w:pPr>
        <w:spacing w:before="0" w:after="0" w:line="408" w:lineRule="exact"/>
        <w:ind w:left="0" w:right="0" w:firstLine="576"/>
        <w:jc w:val="left"/>
      </w:pPr>
      <w:r>
        <w:rPr>
          <w:u w:val="single"/>
        </w:rPr>
        <w:t xml:space="preserve">(17) "Zero-carbon resources" means electricity generation facilities that do not emit greenhouse gases as a direct byproduct of operating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and addressing overgeneration events, if applicable to the utility's resource portfolio;</w:t>
      </w:r>
    </w:p>
    <w:p>
      <w:pPr>
        <w:spacing w:before="0" w:after="0" w:line="408" w:lineRule="exact"/>
        <w:ind w:left="0" w:right="0" w:firstLine="576"/>
        <w:jc w:val="left"/>
      </w:pPr>
      <w:r>
        <w:rPr/>
        <w:t xml:space="preserve">(f) The integration of the demand forecasts and resource evaluations into a long</w:t>
      </w:r>
      <w:r>
        <w:rPr/>
        <w:noBreakHyphen/>
      </w:r>
      <w:r>
        <w:rPr/>
        <w:t xml:space="preserve">range assessment describing the mix of supply side generating resources and conservation and efficiency resources that will meet current and projected needs, including mitigating overgeneration events, at the lowest reasonable cost and risk to the utility and its ratepayers; and</w:t>
      </w:r>
    </w:p>
    <w:p>
      <w:pPr>
        <w:spacing w:before="0" w:after="0" w:line="408" w:lineRule="exact"/>
        <w:ind w:left="0" w:right="0" w:firstLine="576"/>
        <w:jc w:val="left"/>
      </w:pPr>
      <w:r>
        <w:rPr/>
        <w:t xml:space="preserve">(g) A short</w:t>
      </w:r>
      <w:r>
        <w:rPr/>
        <w:noBreakHyphen/>
      </w:r>
      <w:r>
        <w:rPr/>
        <w:t xml:space="preserve">term plan identifying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and</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(3)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(4)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(5) Resource plans developed under this section must be updated on a regular basis, at a minimum on intervals of two years.</w:t>
      </w:r>
    </w:p>
    <w:p>
      <w:pPr>
        <w:spacing w:before="0" w:after="0" w:line="408" w:lineRule="exact"/>
        <w:ind w:left="0" w:right="0" w:firstLine="576"/>
        <w:jc w:val="left"/>
      </w:pPr>
      <w:r>
        <w:rPr/>
        <w:t xml:space="preserve">(6) Plans shall not be a basis to bring legal action against electric utilities.</w:t>
      </w:r>
    </w:p>
    <w:p>
      <w:pPr>
        <w:spacing w:before="0" w:after="0" w:line="408" w:lineRule="exact"/>
        <w:ind w:left="0" w:right="0" w:firstLine="576"/>
        <w:jc w:val="left"/>
      </w:pPr>
      <w:r>
        <w:rPr/>
        <w:t xml:space="preserve">(7)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u w:val="single"/>
        </w:rPr>
        <w:t xml:space="preserve">(8)(a) Each resource plan or integrated resource plan developed under this section must include an assessment of the prospective reliability, resource adequacy, and rate impacts of the electric utility's lowest reasonable cost and least-risk pathways to achieving the following two scenarios:</w:t>
      </w:r>
    </w:p>
    <w:p>
      <w:pPr>
        <w:spacing w:before="0" w:after="0" w:line="408" w:lineRule="exact"/>
        <w:ind w:left="0" w:right="0" w:firstLine="576"/>
        <w:jc w:val="left"/>
      </w:pPr>
      <w:r>
        <w:rPr>
          <w:u w:val="single"/>
        </w:rPr>
        <w:t xml:space="preserve">(i) Meeting one hundred percent of its retail electric load with zero-carbon resources by the year 2028; and</w:t>
      </w:r>
    </w:p>
    <w:p>
      <w:pPr>
        <w:spacing w:before="0" w:after="0" w:line="408" w:lineRule="exact"/>
        <w:ind w:left="0" w:right="0" w:firstLine="576"/>
        <w:jc w:val="left"/>
      </w:pPr>
      <w:r>
        <w:rPr>
          <w:u w:val="single"/>
        </w:rPr>
        <w:t xml:space="preserve">(ii) Meeting one hundred percent of its retail electric load with zero-carbon resources by the year 2035.</w:t>
      </w:r>
    </w:p>
    <w:p>
      <w:pPr>
        <w:spacing w:before="0" w:after="0" w:line="408" w:lineRule="exact"/>
        <w:ind w:left="0" w:right="0" w:firstLine="576"/>
        <w:jc w:val="left"/>
      </w:pPr>
      <w:r>
        <w:rPr>
          <w:u w:val="single"/>
        </w:rPr>
        <w:t xml:space="preserve">(b) The assessment under (a) of this subsection must include:</w:t>
      </w:r>
    </w:p>
    <w:p>
      <w:pPr>
        <w:spacing w:before="0" w:after="0" w:line="408" w:lineRule="exact"/>
        <w:ind w:left="0" w:right="0" w:firstLine="576"/>
        <w:jc w:val="left"/>
      </w:pPr>
      <w:r>
        <w:rPr>
          <w:u w:val="single"/>
        </w:rPr>
        <w:t xml:space="preserve">(i) A description of prospective impacts to each customer rate class. For the class of residential customers, rate impacts must be expressed as incremental cost per year to the average annual electricity bill. A rate impact must be assessed for each year in which a cost is expected to occur and cumulatively for the entire time period that will elapse before the electric utility estimates that it will achieve the scenarios under (a)(i) and (ii) of this subsection;</w:t>
      </w:r>
    </w:p>
    <w:p>
      <w:pPr>
        <w:spacing w:before="0" w:after="0" w:line="408" w:lineRule="exact"/>
        <w:ind w:left="0" w:right="0" w:firstLine="576"/>
        <w:jc w:val="left"/>
      </w:pPr>
      <w:r>
        <w:rPr>
          <w:u w:val="single"/>
        </w:rPr>
        <w:t xml:space="preserve">(ii) A calculation of the total incremental cost of achieving the scenarios under (a)(i) and (ii) of this subsection assuming no direct price on the greenhouse gas emissions attributable to the generation of electricity; and</w:t>
      </w:r>
    </w:p>
    <w:p>
      <w:pPr>
        <w:spacing w:before="0" w:after="0" w:line="408" w:lineRule="exact"/>
        <w:ind w:left="0" w:right="0" w:firstLine="576"/>
        <w:jc w:val="left"/>
      </w:pPr>
      <w:r>
        <w:rPr>
          <w:u w:val="single"/>
        </w:rPr>
        <w:t xml:space="preserve">(iii) A calculation of the total incremental cost of achieving the scenarios under (a)(i) and (ii) of this subsection assuming a direct price of twenty-five dollars per metric ton on the greenhouse gas emissions attributable to the generation of electricity.</w:t>
      </w:r>
    </w:p>
    <w:p/>
    <w:p>
      <w:pPr>
        <w:jc w:val="center"/>
      </w:pPr>
      <w:r>
        <w:rPr>
          <w:b/>
        </w:rPr>
        <w:t>--- END ---</w:t>
      </w:r>
    </w:p>
    <w:sectPr>
      <w:pgNumType w:start="1"/>
      <w:footerReference xmlns:r="http://schemas.openxmlformats.org/officeDocument/2006/relationships" r:id="R3a3b48fb427c47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304f74eb07445e" /><Relationship Type="http://schemas.openxmlformats.org/officeDocument/2006/relationships/footer" Target="/word/footer.xml" Id="R3a3b48fb427c4791" /></Relationships>
</file>