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43cdfee40a47b8" /></Relationships>
</file>

<file path=word/document.xml><?xml version="1.0" encoding="utf-8"?>
<w:document xmlns:w="http://schemas.openxmlformats.org/wordprocessingml/2006/main">
  <w:body>
    <w:p>
      <w:r>
        <w:t>H-3268.3</w:t>
      </w:r>
    </w:p>
    <w:p>
      <w:pPr>
        <w:jc w:val="center"/>
      </w:pPr>
      <w:r>
        <w:t>_______________________________________________</w:t>
      </w:r>
    </w:p>
    <w:p/>
    <w:p>
      <w:pPr>
        <w:jc w:val="center"/>
      </w:pPr>
      <w:r>
        <w:rPr>
          <w:b/>
        </w:rPr>
        <w:t>HOUSE BILL 2352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Kraft and Pike</w:t>
      </w:r>
    </w:p>
    <w:p/>
    <w:p>
      <w:r>
        <w:rPr>
          <w:t xml:space="preserve">Prefiled 12/29/17.</w:t>
        </w:rPr>
      </w:r>
      <w:r>
        <w:rPr>
          <w:t xml:space="preserve">Read first time 01/08/18.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an additional bridge between southwest Washington and Oregon;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additional bridge or other connection between southwest Washington and Oregon will benefit both the economy of southwest Washington and that of the entire state by reducing congestion and improving freight mobility on Interstate 5. Therefore, the joint transportation committee must hire a consultant to evaluate all available options for an additional bridge or other connection west of Interstate 5 between southwest Washington and Oregon. The study must provide high-level conceptual designs of the options put forth and include a cost estimate for each option. The joint transportation committee must submit a report on the study to the transportation committees of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three hundred thousand dollars, or as much thereof as may be necessary, is appropriated for the fiscal biennium ending June 30, 2019, from the motor vehicle account to the joint transportation committee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b84690297bb48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d000d645434969" /><Relationship Type="http://schemas.openxmlformats.org/officeDocument/2006/relationships/footer" Target="/word/footer.xml" Id="Reb84690297bb48db" /></Relationships>
</file>