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bb070b9ec4de5" /></Relationships>
</file>

<file path=word/document.xml><?xml version="1.0" encoding="utf-8"?>
<w:document xmlns:w="http://schemas.openxmlformats.org/wordprocessingml/2006/main">
  <w:body>
    <w:p>
      <w:r>
        <w:t>H-4089.1</w:t>
      </w:r>
    </w:p>
    <w:p>
      <w:pPr>
        <w:jc w:val="center"/>
      </w:pPr>
      <w:r>
        <w:t>_______________________________________________</w:t>
      </w:r>
    </w:p>
    <w:p/>
    <w:p>
      <w:pPr>
        <w:jc w:val="center"/>
      </w:pPr>
      <w:r>
        <w:rPr>
          <w:b/>
        </w:rPr>
        <w:t>SUBSTITUTE HOUSE BILL 2384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Hudgins, Valdez, Macri, Ormsby, Pollet, and Appleton)</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 fees; amending RCW 19.182.170 and 19.182.230;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 A consumer reporting agency may not charge a fee to place a security freeze for a victim of identity theft or for a consumer, who is sixty-five years old or older.</w:t>
      </w:r>
      <w:r>
        <w:t>))</w:t>
      </w:r>
      <w:r>
        <w:rPr/>
        <w:t xml:space="preserve"> </w:t>
      </w:r>
      <w:r>
        <w:rPr>
          <w:u w:val="single"/>
        </w:rPr>
        <w:t xml:space="preserve">A consumer reporting agency may not impose a charge on a consumer for a request to place, temporarily lift, or remove a freeze.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cybersecurity, the office of privacy and data protection, and the attorney general's office must work with stakeholders to evaluate the impact to consumers and the consumer reporting agencies regarding the modifications in this act. The report must include trends in data breaches including the frequency and nature of security breaches, best practices for preventing cybersecurity attacks, and identity theft mitigation protocols recommended by the federal trade commission, the consumer financial protection bureau, and other relevant federal or state agencies. The report must be submitted to the house of representatives committee on business and financial services and the senate committee on financial institutions and insurance by December 1, 2020.</w:t>
      </w:r>
    </w:p>
    <w:p/>
    <w:p>
      <w:pPr>
        <w:jc w:val="center"/>
      </w:pPr>
      <w:r>
        <w:rPr>
          <w:b/>
        </w:rPr>
        <w:t>--- END ---</w:t>
      </w:r>
    </w:p>
    <w:sectPr>
      <w:pgNumType w:start="1"/>
      <w:footerReference xmlns:r="http://schemas.openxmlformats.org/officeDocument/2006/relationships" r:id="R4e83190df81b48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08041d2c049d5" /><Relationship Type="http://schemas.openxmlformats.org/officeDocument/2006/relationships/footer" Target="/word/footer.xml" Id="R4e83190df81b4850" /></Relationships>
</file>