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109ccada2400e" /></Relationships>
</file>

<file path=word/document.xml><?xml version="1.0" encoding="utf-8"?>
<w:document xmlns:w="http://schemas.openxmlformats.org/wordprocessingml/2006/main">
  <w:body>
    <w:p>
      <w:r>
        <w:t>H-3330.1</w:t>
      </w:r>
    </w:p>
    <w:p>
      <w:pPr>
        <w:jc w:val="center"/>
      </w:pPr>
      <w:r>
        <w:t>_______________________________________________</w:t>
      </w:r>
    </w:p>
    <w:p/>
    <w:p>
      <w:pPr>
        <w:jc w:val="center"/>
      </w:pPr>
      <w:r>
        <w:rPr>
          <w:b/>
        </w:rPr>
        <w:t>HOUSE BILL 2393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Eslick, Steele, Maycumber, Jenkin, Kraft, Muri, Manweller, MacEwen, Nealey, Barkis, Walsh, Orcutt, Harmsworth, Pike, Hayes, Schmick, Van Werven, Hargrove, Buys, Smith, Harris, Young, and Stokesbary</w:t>
      </w:r>
    </w:p>
    <w:p/>
    <w:p>
      <w:r>
        <w:rPr>
          <w:t xml:space="preserve">Prefiled 01/05/18.</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ceiling of the business and occupation manufacturing tax rate to 0.2904 percent; amending RCW 82.04.240, 82.04.240, 82.04.280, and 82.32.790; creating new sections; providing an effective date;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The change in tax base created by this act is intended to be permanent.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and retain jobs and reduce structural inefficiencies as indicated in RCW 82.32.808(2) (c) and (d).</w:t>
      </w:r>
    </w:p>
    <w:p>
      <w:pPr>
        <w:spacing w:before="0" w:after="0" w:line="408" w:lineRule="exact"/>
        <w:ind w:left="0" w:right="0" w:firstLine="576"/>
        <w:jc w:val="left"/>
      </w:pPr>
      <w:r>
        <w:rPr/>
        <w:t xml:space="preserve">(3) It is the legislature's specific public policy objective to create greater equity in the taxation of manufacturers and encourage creation of sustainable, well-paying manufacturing jobs across the state. It is the legislature's intent to lower the manufacturing rate for those manufacturing industries still taxed at the highest rate, thereby creating greater equity in taxation of manufacturers, reducing the tax burden on manufacturers, and encouraging creation of well-paying manufacturing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t>
      </w:r>
      <w:r>
        <w:t>((</w:t>
      </w:r>
      <w:r>
        <w:rPr>
          <w:strike/>
        </w:rPr>
        <w:t xml:space="preserve">which</w:t>
      </w:r>
      <w:r>
        <w:t>))</w:t>
      </w:r>
      <w:r>
        <w:rPr/>
        <w:t xml:space="preserve"> </w:t>
      </w:r>
      <w:r>
        <w:rPr>
          <w:u w:val="single"/>
        </w:rPr>
        <w:t xml:space="preserve">that</w:t>
      </w:r>
      <w:r>
        <w:rPr/>
        <w:t xml:space="preserve">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 0.2904 percent.</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2018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automatic expiration date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on the date that section 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takes effect January 1, 2019.</w:t>
      </w:r>
    </w:p>
    <w:p/>
    <w:p>
      <w:pPr>
        <w:jc w:val="center"/>
      </w:pPr>
      <w:r>
        <w:rPr>
          <w:b/>
        </w:rPr>
        <w:t>--- END ---</w:t>
      </w:r>
    </w:p>
    <w:sectPr>
      <w:pgNumType w:start="1"/>
      <w:footerReference xmlns:r="http://schemas.openxmlformats.org/officeDocument/2006/relationships" r:id="Ref0afd049f9b4d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578161b2949cd" /><Relationship Type="http://schemas.openxmlformats.org/officeDocument/2006/relationships/footer" Target="/word/footer.xml" Id="Ref0afd049f9b4db1" /></Relationships>
</file>