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29a36d37441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Jinkins, Goodman, Johnson, Slatter, Tharinger, Stanford, Macri, Ormsby, Doglio,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48.41.100; adding a new section to chapter 41.05 RCW; adding a new section to chapter 48.43 RCW; adding a new section to chapter 43.71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state and school employees to ensure private insurance coverage is available in all counties where those insurers offer coverage to state and school employees; and</w:t>
      </w:r>
    </w:p>
    <w:p>
      <w:pPr>
        <w:spacing w:before="0" w:after="0" w:line="408" w:lineRule="exact"/>
        <w:ind w:left="0" w:right="0" w:firstLine="576"/>
        <w:jc w:val="left"/>
      </w:pPr>
      <w:r>
        <w:rPr/>
        <w:t xml:space="preserve">(b) Until such coverage is available, allow persons residing in counties where no private insurance is available to purchase health coverage outside their counties of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beginning January 1, 2020, a health carrier must offer in the exchange at least one silver and one gold qualified health plan in any county in which it offers a fully insured health plan that was approved, on or after the effective date of this section, by the school employees' benefits board or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the school employees' benefits board or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the school employees' benefits board or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shall allow an individual to purchase an individual market health plan offered by the carrier outside of the individual's county of residence if:</w:t>
      </w:r>
    </w:p>
    <w:p>
      <w:pPr>
        <w:spacing w:before="0" w:after="0" w:line="408" w:lineRule="exact"/>
        <w:ind w:left="0" w:right="0" w:firstLine="576"/>
        <w:jc w:val="left"/>
      </w:pPr>
      <w:r>
        <w:rPr/>
        <w:t xml:space="preserve">(a) There are no individual health plans, other than catastrophic plans, offered within the individual's county of residence; and</w:t>
      </w:r>
    </w:p>
    <w:p>
      <w:pPr>
        <w:spacing w:before="0" w:after="0" w:line="408" w:lineRule="exact"/>
        <w:ind w:left="0" w:right="0" w:firstLine="576"/>
        <w:jc w:val="left"/>
      </w:pPr>
      <w:r>
        <w:rPr/>
        <w:t xml:space="preserve">(b) The individual's county of residence is in the same geographic rating area as the health plan he or she is purchasing.</w:t>
      </w:r>
    </w:p>
    <w:p>
      <w:pPr>
        <w:spacing w:before="0" w:after="0" w:line="408" w:lineRule="exact"/>
        <w:ind w:left="0" w:right="0" w:firstLine="576"/>
        <w:jc w:val="left"/>
      </w:pPr>
      <w:r>
        <w:rPr/>
        <w:t xml:space="preserve">(2) When evaluating the adequacy of the provider networks in a county where a health carrier is required to offer plans under this section to enrollees who are not residents of that county, if the carrier did not participate in the individual market in 2018 in that county, the commissioner shall take into account the availability of telemedicine services and shall consider all reasonable requests to allow the health carrier to deliver services using all access points in the neighboring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exchange shall allow an individual to purchase a qualified health plan being offered outside his or her county residence as provided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2017 c 110 s 2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w:t>
      </w:r>
      <w:r>
        <w:t>((</w:t>
      </w:r>
      <w:r>
        <w:rPr>
          <w:strike/>
        </w:rPr>
        <w:t xml:space="preserve">, and residing</w:t>
      </w:r>
      <w:r>
        <w:t>))</w:t>
      </w:r>
      <w:r>
        <w:rPr/>
        <w:t xml:space="preserve"> </w:t>
      </w:r>
      <w:r>
        <w:rPr>
          <w:u w:val="single"/>
        </w:rPr>
        <w:t xml:space="preserve">who:</w:t>
      </w:r>
    </w:p>
    <w:p>
      <w:pPr>
        <w:spacing w:before="0" w:after="0" w:line="408" w:lineRule="exact"/>
        <w:ind w:left="0" w:right="0" w:firstLine="576"/>
        <w:jc w:val="left"/>
      </w:pPr>
      <w:r>
        <w:rPr>
          <w:u w:val="single"/>
        </w:rPr>
        <w:t xml:space="preserve">(A) Resides</w:t>
      </w:r>
      <w:r>
        <w:rPr/>
        <w:t xml:space="preserve">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w:t>
      </w:r>
      <w:r>
        <w:t>))</w:t>
      </w:r>
      <w:r>
        <w:rPr>
          <w:u w:val="single"/>
        </w:rPr>
        <w:t xml:space="preserve">;</w:t>
      </w:r>
    </w:p>
    <w:p>
      <w:pPr>
        <w:spacing w:before="0" w:after="0" w:line="408" w:lineRule="exact"/>
        <w:ind w:left="0" w:right="0" w:firstLine="576"/>
        <w:jc w:val="left"/>
      </w:pPr>
      <w:r>
        <w:rPr>
          <w:u w:val="single"/>
        </w:rPr>
        <w:t xml:space="preserve">(B) Is not eligible to purchase a health plan in a county outside of his or her county of residence under section 3 of this act; and</w:t>
      </w:r>
    </w:p>
    <w:p>
      <w:pPr>
        <w:spacing w:before="0" w:after="0" w:line="408" w:lineRule="exact"/>
        <w:ind w:left="0" w:right="0" w:firstLine="576"/>
        <w:jc w:val="left"/>
      </w:pPr>
      <w:r>
        <w:rPr>
          <w:u w:val="single"/>
        </w:rPr>
        <w:t xml:space="preserve">(C) M</w:t>
      </w:r>
      <w:r>
        <w:rPr/>
        <w:t xml:space="preserve">akes application to the pool for coverage prior to December 31, 2022;</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2022;</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expire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8f2ca85769a43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ca31c0c084636" /><Relationship Type="http://schemas.openxmlformats.org/officeDocument/2006/relationships/footer" Target="/word/footer.xml" Id="R28f2ca85769a4387" /></Relationships>
</file>