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802a819dd4d1b" /></Relationships>
</file>

<file path=word/document.xml><?xml version="1.0" encoding="utf-8"?>
<w:document xmlns:w="http://schemas.openxmlformats.org/wordprocessingml/2006/main">
  <w:body>
    <w:p>
      <w:r>
        <w:t>H-3495.2</w:t>
      </w:r>
    </w:p>
    <w:p>
      <w:pPr>
        <w:jc w:val="center"/>
      </w:pPr>
      <w:r>
        <w:t>_______________________________________________</w:t>
      </w:r>
    </w:p>
    <w:p/>
    <w:p>
      <w:pPr>
        <w:jc w:val="center"/>
      </w:pPr>
      <w:r>
        <w:rPr>
          <w:b/>
        </w:rPr>
        <w:t>HOUSE BILL 2411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Slatter, Macri, and Appleton</w:t>
      </w:r>
    </w:p>
    <w:p/>
    <w:p>
      <w:r>
        <w:rPr>
          <w:t xml:space="preserve">Prefiled 01/05/18.</w:t>
        </w:rPr>
      </w:r>
      <w:r>
        <w:rPr>
          <w:t xml:space="preserve">Read first time 01/08/18.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wasted food in order to fight hunger and reduce environmental impacts; amending RCW 70.95.090; adding a new section to chapter 70.95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wasting of food represents a misuse of resources, including the water, land, energy, labor, and capital that go into growing, harvesting, processing, transporting, and retailing food for human consumption. Wasting edible food occurs all along the food production supply chain, and reducing the waste of edible food is a goal that can be achieved only with the collective efforts of growers, processors, distributors, retailers, and consumers of food. Inedible food waste can be managed in ways that reduce negative environmental impacts and provide beneficial results to the land, air, soil, and energy infrastructure. Efforts to reduce the waste of food and expand the diversion of food waste to beneficial end uses will also require the mindful support of government policies that shape the behavior and waste-reduction opportunities of each of those participants in the food supply chain.</w:t>
      </w:r>
    </w:p>
    <w:p>
      <w:pPr>
        <w:spacing w:before="0" w:after="0" w:line="408" w:lineRule="exact"/>
        <w:ind w:left="0" w:right="0" w:firstLine="576"/>
        <w:jc w:val="left"/>
      </w:pPr>
      <w:r>
        <w:rPr/>
        <w:t xml:space="preserve">(2) Food waste represents an oft-overlooked human tragedy in a world where millions of people go hungry on a daily basis. Worldwide, the United Nations food and agriculture organization has estimated that if one-fourth of the food lost or wasted globally could be saved, it would be enough to feed eight hundred seventy million hungry people. Recent data from the department of ecology indicate that Washington is not immune to food waste problems, and recent estimates indicate that seventeen percent of all garbage sent to Washington disposal facilities is food waste, and eight percent of all garbage is food that was determined to be edible at the time of disposal. In recognition of the widespread benefits that would accrue from reductions in food waste, in 2015, the administrator of the United States environmental protection agency and the secretary of the United States department of agriculture announced a national goal of reducing food waste by fifty percent by 2030.</w:t>
      </w:r>
    </w:p>
    <w:p>
      <w:pPr>
        <w:spacing w:before="0" w:after="0" w:line="408" w:lineRule="exact"/>
        <w:ind w:left="0" w:right="0" w:firstLine="576"/>
        <w:jc w:val="left"/>
      </w:pPr>
      <w:r>
        <w:rPr/>
        <w:t xml:space="preserve">(3) By establishing state food waste reduction goals and developing a state food waste reduction strategy, it is the intent of the legislature to continue its national leadership in solid waste reduction efforts by:</w:t>
      </w:r>
    </w:p>
    <w:p>
      <w:pPr>
        <w:spacing w:before="0" w:after="0" w:line="408" w:lineRule="exact"/>
        <w:ind w:left="0" w:right="0" w:firstLine="576"/>
        <w:jc w:val="left"/>
      </w:pPr>
      <w:r>
        <w:rPr/>
        <w:t xml:space="preserve">(a) Fighting hunger by more efficiently diverting surplus food to feed hungry individuals and families in need;</w:t>
      </w:r>
    </w:p>
    <w:p>
      <w:pPr>
        <w:spacing w:before="0" w:after="0" w:line="408" w:lineRule="exact"/>
        <w:ind w:left="0" w:right="0" w:firstLine="576"/>
        <w:jc w:val="left"/>
      </w:pPr>
      <w:r>
        <w:rPr/>
        <w:t xml:space="preserve">(b) Reducing the cradle-to-grave greenhouse gas emissions associated with wasted food; and</w:t>
      </w:r>
    </w:p>
    <w:p>
      <w:pPr>
        <w:spacing w:before="0" w:after="0" w:line="408" w:lineRule="exact"/>
        <w:ind w:left="0" w:right="0" w:firstLine="576"/>
        <w:jc w:val="left"/>
      </w:pPr>
      <w:r>
        <w:rPr/>
        <w:t xml:space="preserve">(c) Making more efficient use of the state's food waste management infrastructure by reducing the volumes of food waste that flow through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goal is established for the state to reduce by fifty percent the amount of wasted food generated annually by 2030, relative to 2017 levels.</w:t>
      </w:r>
    </w:p>
    <w:p>
      <w:pPr>
        <w:spacing w:before="0" w:after="0" w:line="408" w:lineRule="exact"/>
        <w:ind w:left="0" w:right="0" w:firstLine="576"/>
        <w:jc w:val="left"/>
      </w:pPr>
      <w:r>
        <w:rPr/>
        <w:t xml:space="preserve">(2) The department may estimate 2017 levels of wasted food in Washington using any combination of solid waste reporting data obtained under this chapter and surveys and studies measuring wasted food and food waste in other jurisdictions. For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food waste reduction plan designed to achieve the goals established in subsection (1) of this section.</w:t>
      </w:r>
    </w:p>
    <w:p>
      <w:pPr>
        <w:spacing w:before="0" w:after="0" w:line="408" w:lineRule="exact"/>
        <w:ind w:left="0" w:right="0" w:firstLine="576"/>
        <w:jc w:val="left"/>
      </w:pPr>
      <w:r>
        <w:rPr/>
        <w:t xml:space="preserve">(a) The food waste reduction plan must include strategies, in descending order of priority, to:</w:t>
      </w:r>
    </w:p>
    <w:p>
      <w:pPr>
        <w:spacing w:before="0" w:after="0" w:line="408" w:lineRule="exact"/>
        <w:ind w:left="0" w:right="0" w:firstLine="576"/>
        <w:jc w:val="left"/>
      </w:pPr>
      <w:r>
        <w:rPr/>
        <w:t xml:space="preserve">(i) Reduce the wasting of edible food by residents and businesses;</w:t>
      </w:r>
    </w:p>
    <w:p>
      <w:pPr>
        <w:spacing w:before="0" w:after="0" w:line="408" w:lineRule="exact"/>
        <w:ind w:left="0" w:right="0" w:firstLine="576"/>
        <w:jc w:val="left"/>
      </w:pPr>
      <w:r>
        <w:rPr/>
        <w:t xml:space="preserve">(ii) Help match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or other commercial uses, and for industrial or on-site compost production.</w:t>
      </w:r>
    </w:p>
    <w:p>
      <w:pPr>
        <w:spacing w:before="0" w:after="0" w:line="408" w:lineRule="exact"/>
        <w:ind w:left="0" w:right="0" w:firstLine="576"/>
        <w:jc w:val="left"/>
      </w:pPr>
      <w:r>
        <w:rPr/>
        <w:t xml:space="preserve">(b) The food waste reduction plan must include suggested best practices that local governments may incorporate into solid waste management plans developed under RCW 70.95.080.</w:t>
      </w:r>
    </w:p>
    <w:p>
      <w:pPr>
        <w:spacing w:before="0" w:after="0" w:line="408" w:lineRule="exact"/>
        <w:ind w:left="0" w:right="0" w:firstLine="576"/>
        <w:jc w:val="left"/>
      </w:pPr>
      <w:r>
        <w:rPr/>
        <w:t xml:space="preserve">(c) The department must solicit feedback from the public and interested stakeholders throughout the process of developing and adopting the food waste reduction plan. The department may designate a stakeholder advisory panel to assist with its food waste reduction plan development responsibilities.</w:t>
      </w:r>
    </w:p>
    <w:p>
      <w:pPr>
        <w:spacing w:before="0" w:after="0" w:line="408" w:lineRule="exact"/>
        <w:ind w:left="0" w:right="0" w:firstLine="576"/>
        <w:jc w:val="left"/>
      </w:pPr>
      <w:r>
        <w:rPr/>
        <w:t xml:space="preserve">(d) In conjunction with the development of the food waste reduction plan, the department must consider recommending changes to state law in order to achieve the goals established in subsection (1) of this section. Any such recommendations must be explained via a report to the legislature submitted consistent with RCW 43.01.036 by December 1, 2020.</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"Food waste" means landfilled, incinerated, or otherwise discarded inedible organic material that spoiled or was produced as a by-product of organic material that was intended for human consumption.</w:t>
      </w:r>
    </w:p>
    <w:p>
      <w:pPr>
        <w:spacing w:before="0" w:after="0" w:line="408" w:lineRule="exact"/>
        <w:ind w:left="0" w:right="0" w:firstLine="576"/>
        <w:jc w:val="left"/>
      </w:pPr>
      <w:r>
        <w:rPr/>
        <w:t xml:space="preserve">(b) "Wasted food" means landfilled, incinerated, or otherwise discarded edible food that was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r>
        <w:rPr>
          <w:u w:val="single"/>
        </w:rPr>
        <w:t xml:space="preserve">, which may include strategies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w:t>
      </w:r>
      <w:r>
        <w:rPr>
          <w:u w:val="single"/>
        </w:rPr>
        <w:t xml:space="preserve">and food waste</w:t>
      </w:r>
      <w:r>
        <w:rPr/>
        <w:t xml:space="preserve">, if the county or city submitting the plan finds that there are adequate markets or capacity for composted yard waste </w:t>
      </w:r>
      <w:r>
        <w:rPr>
          <w:u w:val="single"/>
        </w:rPr>
        <w:t xml:space="preserve">and food waste</w:t>
      </w:r>
      <w:r>
        <w:rPr/>
        <w:t xml:space="preserv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
      <w:pPr>
        <w:jc w:val="center"/>
      </w:pPr>
      <w:r>
        <w:rPr>
          <w:b/>
        </w:rPr>
        <w:t>--- END ---</w:t>
      </w:r>
    </w:p>
    <w:sectPr>
      <w:pgNumType w:start="1"/>
      <w:footerReference xmlns:r="http://schemas.openxmlformats.org/officeDocument/2006/relationships" r:id="Ra266acd4f62840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872677b3c408e" /><Relationship Type="http://schemas.openxmlformats.org/officeDocument/2006/relationships/footer" Target="/word/footer.xml" Id="Ra266acd4f62840cc" /></Relationships>
</file>