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8c14dd2e649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Hargrove and Sullivan)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important component of the state's wastewater treatment infrastructure. In order to ensure that on-site sewage systems remain a wastewater treatment option that is economically accessible to a wide sector of the state's population, it is the intent of the legislature to ensure that only requirements that are reasonable, appropriately tailored, and necessary are imposed on the installation, operation, maintenance, or repair of on-site sewage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2238b0d867f449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f57552bd94d71" /><Relationship Type="http://schemas.openxmlformats.org/officeDocument/2006/relationships/footer" Target="/word/footer.xml" Id="R2238b0d867f4497b" /></Relationships>
</file>