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645edad23497c" /></Relationships>
</file>

<file path=word/document.xml><?xml version="1.0" encoding="utf-8"?>
<w:document xmlns:w="http://schemas.openxmlformats.org/wordprocessingml/2006/main">
  <w:body>
    <w:p>
      <w:r>
        <w:t>H-4149.3</w:t>
      </w:r>
    </w:p>
    <w:p>
      <w:pPr>
        <w:jc w:val="center"/>
      </w:pPr>
      <w:r>
        <w:t>_______________________________________________</w:t>
      </w:r>
    </w:p>
    <w:p/>
    <w:p>
      <w:pPr>
        <w:jc w:val="center"/>
      </w:pPr>
      <w:r>
        <w:rPr>
          <w:b/>
        </w:rPr>
        <w:t>SUBSTITUTE HOUSE BILL 2420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Hargrove and Sullivan)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amending RCW 70.05.074; adding a new section to chapter 43.20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properly functioning on-site sewage systems are an important component of the state's wastewater treatment infrastructure. In order to ensure that on-site sewage systems remain a wastewater treatment option that is economically accessible to a wide sector of the state's population, it is the intent of the legislature to ensure that only requirements that are reasonable, appropriately tailored, and necessary are imposed on the installation, operation, maintenance, or repair of on-site sewage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70.118.030;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0" w:after="0" w:line="408" w:lineRule="exact"/>
        <w:ind w:left="0" w:right="0" w:firstLine="576"/>
        <w:jc w:val="left"/>
      </w:pPr>
      <w:r>
        <w:rPr/>
        <w:t xml:space="preserve">(3)(a) Except as provided in (b) of this subsection, rules adopted by the state board under RCW 43.20.050(3) may not require or allow a local health officer to require, as the only compliance option, that any property owner obtain an inspection, monitoring, or maintenance contract or service agreement with any person in order for the property owner to receive a permit related to an on-site sewage system.</w:t>
      </w:r>
    </w:p>
    <w:p>
      <w:pPr>
        <w:spacing w:before="0" w:after="0" w:line="408" w:lineRule="exact"/>
        <w:ind w:left="0" w:right="0" w:firstLine="576"/>
        <w:jc w:val="left"/>
      </w:pPr>
      <w:r>
        <w:rPr/>
        <w:t xml:space="preserve">(b) Rules adopted by the state board must allow local health officers to require inspection, monitoring, or maintenance contracts or service agreements as a permit condition only in the following narrow instances, and only under specific circumstances where the local health officer has local, site-specific evidence to believe that water quality or shellfish growing areas are especially at risk:</w:t>
      </w:r>
    </w:p>
    <w:p>
      <w:pPr>
        <w:spacing w:before="0" w:after="0" w:line="408" w:lineRule="exact"/>
        <w:ind w:left="0" w:right="0" w:firstLine="576"/>
        <w:jc w:val="left"/>
      </w:pPr>
      <w:r>
        <w:rPr/>
        <w:t xml:space="preserve">(i) For on-site sewage systems located in any of the following areas:</w:t>
      </w:r>
    </w:p>
    <w:p>
      <w:pPr>
        <w:spacing w:before="0" w:after="0" w:line="408" w:lineRule="exact"/>
        <w:ind w:left="0" w:right="0" w:firstLine="576"/>
        <w:jc w:val="left"/>
      </w:pPr>
      <w:r>
        <w:rPr/>
        <w:t xml:space="preserve">(A) Shoreland areas, as that term is defined in chapter 90.58 RCW;</w:t>
      </w:r>
    </w:p>
    <w:p>
      <w:pPr>
        <w:spacing w:before="0" w:after="0" w:line="408" w:lineRule="exact"/>
        <w:ind w:left="0" w:right="0" w:firstLine="576"/>
        <w:jc w:val="left"/>
      </w:pPr>
      <w:r>
        <w:rPr/>
        <w:t xml:space="preserve">(B) A marine recovery area or other special management area identified in a management plan required under chapter 70.118A RCW;</w:t>
      </w:r>
    </w:p>
    <w:p>
      <w:pPr>
        <w:spacing w:before="0" w:after="0" w:line="408" w:lineRule="exact"/>
        <w:ind w:left="0" w:right="0" w:firstLine="576"/>
        <w:jc w:val="left"/>
      </w:pPr>
      <w:r>
        <w:rPr/>
        <w:t xml:space="preserve">(C) Shellfish protection districts under chapter 90.72 RCW;</w:t>
      </w:r>
    </w:p>
    <w:p>
      <w:pPr>
        <w:spacing w:before="0" w:after="0" w:line="408" w:lineRule="exact"/>
        <w:ind w:left="0" w:right="0" w:firstLine="576"/>
        <w:jc w:val="left"/>
      </w:pPr>
      <w:r>
        <w:rPr/>
        <w:t xml:space="preserve">(D) Groundwater management areas that were primarily created in order to address areas where the contamination or the degradation of water quality was occurring due to land use, consistent with RCW 90.44.400(2)(f); and</w:t>
      </w:r>
    </w:p>
    <w:p>
      <w:pPr>
        <w:spacing w:before="0" w:after="0" w:line="408" w:lineRule="exact"/>
        <w:ind w:left="0" w:right="0" w:firstLine="576"/>
        <w:jc w:val="left"/>
      </w:pPr>
      <w:r>
        <w:rPr/>
        <w:t xml:space="preserve">(E) Other areas designated by the local board of health, after a public hearing and an opportunity for public comment on a proposed designation, for the purpose of protecting public health and surface or groundwater where on-site sewage systems have been determined to be significant factors contributing to public health and water quality concerns;</w:t>
      </w:r>
    </w:p>
    <w:p>
      <w:pPr>
        <w:spacing w:before="0" w:after="0" w:line="408" w:lineRule="exact"/>
        <w:ind w:left="0" w:right="0" w:firstLine="576"/>
        <w:jc w:val="left"/>
      </w:pPr>
      <w:r>
        <w:rPr/>
        <w:t xml:space="preserve">(ii) For on-site sewage systems that feature technologies that may make the system especially complicated to operate or maintain or that may require special expertise to monitor, maintain, or inspect due to size and complexity, such as proprietary products; and</w:t>
      </w:r>
    </w:p>
    <w:p>
      <w:pPr>
        <w:spacing w:before="0" w:after="0" w:line="408" w:lineRule="exact"/>
        <w:ind w:left="0" w:right="0" w:firstLine="576"/>
        <w:jc w:val="left"/>
      </w:pPr>
      <w:r>
        <w:rPr/>
        <w:t xml:space="preserve">(iii) For instances in which an on-site sewage system is located on or serves multiple properties, serves three or more dwelling units, or serves another use that generates more than one thousand gallons of sewage per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w:t>
      </w:r>
      <w:r>
        <w:rPr>
          <w:u w:val="single"/>
        </w:rPr>
        <w:t xml:space="preserve">A local health officer may not deny or condition a permit application related to an on-site sewage system located on a single property and serving a single dwelling unit upon the granting of an easement allowing for the inspection or maintenance of the on-site sewage system.</w:t>
      </w:r>
      <w:r>
        <w:rPr/>
        <w:t xml:space="preserve">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c9cbdf462a9748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a566f92d141c3" /><Relationship Type="http://schemas.openxmlformats.org/officeDocument/2006/relationships/footer" Target="/word/footer.xml" Id="Rc9cbdf462a9748d9" /></Relationships>
</file>