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d3a9ebc6a4646" /></Relationships>
</file>

<file path=word/document.xml><?xml version="1.0" encoding="utf-8"?>
<w:document xmlns:w="http://schemas.openxmlformats.org/wordprocessingml/2006/main">
  <w:body>
    <w:p>
      <w:r>
        <w:t>H-3489.2</w:t>
      </w:r>
    </w:p>
    <w:p>
      <w:pPr>
        <w:jc w:val="center"/>
      </w:pPr>
      <w:r>
        <w:t>_______________________________________________</w:t>
      </w:r>
    </w:p>
    <w:p/>
    <w:p>
      <w:pPr>
        <w:jc w:val="center"/>
      </w:pPr>
      <w:r>
        <w:rPr>
          <w:b/>
        </w:rPr>
        <w:t>HOUSE BILL 2420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Hargrove and Sullivan</w:t>
      </w:r>
    </w:p>
    <w:p/>
    <w:p>
      <w:r>
        <w:rPr>
          <w:t xml:space="preserve">Prefiled 01/05/18.</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and adding a new section to chapter 43.20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Not impose or allow the imposition of excessive, unreasonable, or unnecessary obligations related to the repair or replacement of an on-site sewage system;</w:t>
      </w:r>
    </w:p>
    <w:p>
      <w:pPr>
        <w:spacing w:before="0" w:after="0" w:line="408" w:lineRule="exact"/>
        <w:ind w:left="0" w:right="0" w:firstLine="576"/>
        <w:jc w:val="left"/>
      </w:pPr>
      <w:r>
        <w:rPr/>
        <w:t xml:space="preserve">(b) Not impose or allow the imposition of more stringent performance requirements of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professional inspector or public agency to be coordinated with the owner of the on-site sewage system prior to accessing the on-site sewage system. This coordination must include notification to the property owner at least five business days prior to accessing the property, unless the property owner waives the five-day notification period;</w:t>
      </w:r>
    </w:p>
    <w:p>
      <w:pPr>
        <w:spacing w:before="0" w:after="0" w:line="408" w:lineRule="exact"/>
        <w:ind w:left="0" w:right="0" w:firstLine="576"/>
        <w:jc w:val="left"/>
      </w:pPr>
      <w:r>
        <w:rPr/>
        <w:t xml:space="preserve">(b) Require any inspection of an on-site sewage system carried out by a professional inspector or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easements for on-site sewage systems as a condition of permit issuance for on-site sewage systems that are located on and service a single property.</w:t>
      </w:r>
    </w:p>
    <w:p>
      <w:pPr>
        <w:spacing w:before="0" w:after="0" w:line="408" w:lineRule="exact"/>
        <w:ind w:left="0" w:right="0" w:firstLine="576"/>
        <w:jc w:val="left"/>
      </w:pPr>
      <w:r>
        <w:rPr/>
        <w:t xml:space="preserve">(3) Rules adopted by the board under RCW 43.20.050(3) may not require or allow a local health officer to require that any property owner obtain an inspection, monitoring, or maintenance contract with any person in order for the property owner to receive a permit to install an on-site sewage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an application to install an on-site sewage system serving and located on a single property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850afd2cee9542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47219caff48b1" /><Relationship Type="http://schemas.openxmlformats.org/officeDocument/2006/relationships/footer" Target="/word/footer.xml" Id="R850afd2cee9542a0" /></Relationships>
</file>