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96e5c336741ac" /></Relationships>
</file>

<file path=word/document.xml><?xml version="1.0" encoding="utf-8"?>
<w:document xmlns:w="http://schemas.openxmlformats.org/wordprocessingml/2006/main">
  <w:body>
    <w:p>
      <w:r>
        <w:t>H-3796.1</w:t>
      </w:r>
    </w:p>
    <w:p>
      <w:pPr>
        <w:jc w:val="center"/>
      </w:pPr>
      <w:r>
        <w:t>_______________________________________________</w:t>
      </w:r>
    </w:p>
    <w:p/>
    <w:p>
      <w:pPr>
        <w:jc w:val="center"/>
      </w:pPr>
      <w:r>
        <w:rPr>
          <w:b/>
        </w:rPr>
        <w:t>SUBSTITUTE HOUSE BILL 2424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Lytton and Nealey)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the use tax exemption for self-produced fuel; amending 2017 3rd sp.s. c 28 s 605 (uncodified);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107 and 108, chapter 28, Laws of 2017 3rd sp. sess.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improve industry competitiveness, as indicated in RCW 82.32.808(2) (a) and (b).</w:t>
      </w:r>
    </w:p>
    <w:p>
      <w:pPr>
        <w:spacing w:before="0" w:after="0" w:line="408" w:lineRule="exact"/>
        <w:ind w:left="0" w:right="0" w:firstLine="576"/>
        <w:jc w:val="left"/>
      </w:pPr>
      <w:r>
        <w:rPr/>
        <w:t xml:space="preserve">(3) If a review finds that there is an increase in self-produced fuel as the result of these tax preferences, then the legislature intends to extend the expiration date of these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to August 1, 2017,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7ea6a1a37545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f7cf83ebe4abc" /><Relationship Type="http://schemas.openxmlformats.org/officeDocument/2006/relationships/footer" Target="/word/footer.xml" Id="R397ea6a1a37545c6" /></Relationships>
</file>