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89d98b9aa4034" /></Relationships>
</file>

<file path=word/document.xml><?xml version="1.0" encoding="utf-8"?>
<w:document xmlns:w="http://schemas.openxmlformats.org/wordprocessingml/2006/main">
  <w:body>
    <w:p>
      <w:r>
        <w:t>H-3146.1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2430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 Hudgins</w:t>
      </w:r>
    </w:p>
    <w:p/>
    <w:p>
      <w:r>
        <w:rPr>
          <w:t xml:space="preserve">Read first time 01/09/18.  </w:t>
        </w:rPr>
      </w:r>
      <w:r>
        <w:rPr>
          <w:t xml:space="preserve">Referred to Committee on Technology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the joint legislative oversight committee on trade policy; amending RCW 43.15.020; repealing RCW 44.55.010, 44.55.020, 44.55.030, 44.55.040, 44.55.050, and 44.55.060;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15</w:t>
      </w:r>
      <w:r>
        <w:rPr/>
        <w:t xml:space="preserve">.</w:t>
      </w:r>
      <w:r>
        <w:t xml:space="preserve">020</w:t>
      </w:r>
      <w:r>
        <w:rPr/>
        <w:t xml:space="preserve"> and 2017 3rd sp.s. c 6 s 814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lieutenant governor serves as president of the senate and is responsible for making appointments to, and serving on, the committees and boards as set forth in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lieutenant governor serves on the following boards and committees: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Capitol furnishings preservation committee, RCW 27.48.040;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Washington higher education facilities authority, RCW 28B.07.030;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Productivity board, also known as the employee involvement and recognition board, RCW 41.60.015;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State finance committee, RCW 43.33.010;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State capitol committee, RCW 43.34.010;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Washington health care facilities authority, RCW 70.37.030;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State medal of merit nominating committee, RCW 1.40.020;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Medal of valor committee, RCW 1.60.020;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Association of Washington generals, RCW 43.15.030.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lieutenant governor, and when serving as president of the senate, appoints members to the following boards and committees: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Civil legal aid oversight committee, RCW 2.53.010;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Office of public defense advisory committee, RCW 2.70.030;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Washington state gambling commission, RCW 9.46.040;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Sentencing guidelines commission, RCW 9.94A.860;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State building code council, RCW 19.27.070;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Financial education public-private partnership, RCW 28A.300.450;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Joint administrative rules review committee, RCW 34.05.610;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Capital projects advisory review board, RCW 39.10.220;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Select committee on pension policy, RCW 41.04.276;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Legislative ethics board, RCW 42.52.310;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(k) Washington citizens' commission on salaries, RCW 43.03.305;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(l) Legislative oral history committee, RCW 44.04.325;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(m) State council on aging, RCW 43.20A.685;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(n) State investment board, RCW 43.33A.020;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(o) Capitol campus design advisory committee, RCW 43.34.080;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(p) Washington state arts commission, RCW 43.46.015;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(q) PNWER-Net working subgroup under chapter 43.147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(r) Community economic revitalization board, RCW 43.160.030;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(s) Washington economic development finance authority, RCW 43.163.020;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(t) Life sciences discovery fund authority, RCW 43.350.020;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(u) Joint legislative audit and review committee, RCW 44.28.010;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Joint committee on energy supply and energy conservation, RCW 44.39.015;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(w) Legislative evaluation and accountability program committee, RCW 44.48.010;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(x) Agency council on coordinated transportation, RCW 47.06B.020;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(y) Washington horse racing commission, RCW 67.16.014;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(z) Correctional industries board of directors, RCW 72.09.080;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(aa) Joint committee on veterans' and military affairs, RCW 73.04.150;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(bb) Joint legislative committee on water supply during drought, RCW 90.86.020;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(cc) Statute law committee, RCW 1.08.001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(dd) Joint legislative oversight committee on trade policy, RCW 44.55.020</w:t>
      </w:r>
      <w:r>
        <w:t>))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010</w:t>
      </w:r>
      <w:r>
        <w:rPr/>
        <w:t xml:space="preserve"> (Findings</w:t>
      </w:r>
      <w:r>
        <w:rPr>
          <w:rFonts w:ascii="Times New Roman" w:hAnsi="Times New Roman"/>
        </w:rPr>
        <w:t xml:space="preserve">—</w:t>
      </w:r>
      <w:r>
        <w:rPr/>
        <w:t xml:space="preserve">Intent) and 2003 c 404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020</w:t>
      </w:r>
      <w:r>
        <w:rPr/>
        <w:t xml:space="preserve"> (Committee membership) and 2003 c 404 s 2;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030</w:t>
      </w:r>
      <w:r>
        <w:rPr/>
        <w:t xml:space="preserve"> (Chair</w:t>
      </w:r>
      <w:r>
        <w:rPr>
          <w:rFonts w:ascii="Times New Roman" w:hAnsi="Times New Roman"/>
        </w:rPr>
        <w:t xml:space="preserve">—</w:t>
      </w:r>
      <w:r>
        <w:rPr/>
        <w:t xml:space="preserve">Officers</w:t>
      </w:r>
      <w:r>
        <w:rPr>
          <w:rFonts w:ascii="Times New Roman" w:hAnsi="Times New Roman"/>
        </w:rPr>
        <w:t xml:space="preserve">—</w:t>
      </w:r>
      <w:r>
        <w:rPr/>
        <w:t xml:space="preserve">Rules) and 2003 c 404 s 3;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040</w:t>
      </w:r>
      <w:r>
        <w:rPr/>
        <w:t xml:space="preserve"> (Powers, duties) and 2003 c 404 s 4;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050</w:t>
      </w:r>
      <w:r>
        <w:rPr/>
        <w:t xml:space="preserve"> (Staff support) and 2003 c 404 s 5; and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060</w:t>
      </w:r>
      <w:r>
        <w:rPr/>
        <w:t xml:space="preserve"> (Compensation) and 2003 c 404 s 6.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a29ed020e57414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2430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17dbd59eb4fa6" /><Relationship Type="http://schemas.openxmlformats.org/officeDocument/2006/relationships/footer" Target="/word/footer.xml" Id="Rca29ed020e574146" /></Relationships>
</file>