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5389179344249" /></Relationships>
</file>

<file path=word/document.xml><?xml version="1.0" encoding="utf-8"?>
<w:document xmlns:w="http://schemas.openxmlformats.org/wordprocessingml/2006/main">
  <w:body>
    <w:p>
      <w:r>
        <w:t>Z-0811.2</w:t>
      </w:r>
    </w:p>
    <w:p>
      <w:pPr>
        <w:jc w:val="center"/>
      </w:pPr>
      <w:r>
        <w:t>_______________________________________________</w:t>
      </w:r>
    </w:p>
    <w:p/>
    <w:p>
      <w:pPr>
        <w:jc w:val="center"/>
      </w:pPr>
      <w:r>
        <w:rPr>
          <w:b/>
        </w:rPr>
        <w:t>HOUSE BILL 2489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Rodne, Harris, Caldier, Macri, Robinson, Jinkins, Muri, Kagi, McBride, Wylie, Peterson, Slatter, Hayes, Sawyer, Pollet, Doglio, Kloba, Tharinger, Ormsby, Johnson, and Kilduff; by request of Governor Inslee</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71.24.585, 71.24.595, 71.24.560, 71.24.011, 69.41.095, 70.225.010, 70.225.040, and 70.168.090; amending 2005 c 70 s 1 (uncodified); adding new sections to chapter 71.24 RCW; adding a new section to chapter 70.225 RCW; adding a new section to chapter 74.09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w:t>
      </w:r>
      <w:r>
        <w:rPr/>
        <w:t xml:space="preserve">. The state of Washington recognizes </w:t>
      </w:r>
      <w:r>
        <w:rPr>
          <w:u w:val="single"/>
        </w:rPr>
        <w:t xml:space="preserve">medications approved by the federal food and drug administration</w:t>
      </w:r>
      <w:r>
        <w:rPr/>
        <w:t xml:space="preserve"> as evidence-based </w:t>
      </w:r>
      <w:r>
        <w:t>((</w:t>
      </w:r>
      <w:r>
        <w:rPr>
          <w:strike/>
        </w:rPr>
        <w:t xml:space="preserve">for the management of opioid use disorder the medications approved by the federal food and drug administration</w:t>
      </w:r>
      <w:r>
        <w:t>))</w:t>
      </w:r>
      <w:r>
        <w:rPr/>
        <w:t xml:space="preserve"> for the treatment of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Medications, in conjunction with other therapeutic procedures, are the treatment of choice for persons with opioid use disorder.</w:t>
      </w:r>
      <w:r>
        <w:rPr/>
        <w:t xml:space="preserve"> Providers must inform patients of all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medication-assisted therapies while engaging in services; and</w:t>
      </w:r>
    </w:p>
    <w:p>
      <w:pPr>
        <w:spacing w:before="0" w:after="0" w:line="408" w:lineRule="exact"/>
        <w:ind w:left="0" w:right="0" w:firstLine="576"/>
        <w:jc w:val="left"/>
      </w:pPr>
      <w:r>
        <w:rPr>
          <w:u w:val="single"/>
        </w:rPr>
        <w:t xml:space="preserve">(b) Entities which allow patients to start on medication-assisted treatment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addiction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response treatment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program patients.</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addiction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and medication-assisted treatment prescribers.</w:t>
      </w:r>
    </w:p>
    <w:p>
      <w:pPr>
        <w:spacing w:before="0" w:after="0" w:line="408" w:lineRule="exact"/>
        <w:ind w:left="0" w:right="0" w:firstLine="576"/>
        <w:jc w:val="left"/>
      </w:pPr>
      <w:r>
        <w:rPr/>
        <w:t xml:space="preserve">(2) The department shall work with the department of health and the health care authority to reduce barriers and promote medication-assisted treatment therapies in emergency departments and same-day referrals to substance use disorder treatment facilities and community-based medication-assisted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women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opioid use and opioid replacement therapy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women in their program on the benefits and risks of medication-assisted treatment to their fetus before they are provided these medications, as part of their treatment.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women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mothers who are receiving methadone treatment of the risks and benefits </w:t>
      </w:r>
      <w:r>
        <w:t>((</w:t>
      </w:r>
      <w:r>
        <w:rPr>
          <w:strike/>
        </w:rPr>
        <w:t xml:space="preserve">methadone</w:t>
      </w:r>
      <w:r>
        <w:t>))</w:t>
      </w:r>
      <w:r>
        <w:rPr/>
        <w:t xml:space="preserve"> </w:t>
      </w:r>
      <w:r>
        <w:rPr>
          <w:u w:val="single"/>
        </w:rPr>
        <w:t xml:space="preserve">opioid replacement therapy</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neonatal abstinence syndrome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Such standing order can only be issued by a practitioner as defined in this chapter.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the state nor the secretary nor the secretary's designee have any civil liability for issuing standing orders or for any other actions taken pursuant to this chapter. Neither the secretary nor the secretary's designee are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(6) The labeling requirements of RCW 69.41.050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 with the medication.</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continues whenever information from the prescription monitoring program is provided to a requestor under subsections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w:t>
      </w:r>
      <w:r>
        <w:t>((</w:t>
      </w:r>
      <w:r>
        <w:rPr>
          <w:strike/>
        </w:rPr>
        <w:t xml:space="preserve">and</w:t>
      </w:r>
      <w:r>
        <w:t>))</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u w:val="single"/>
        </w:rPr>
        <w:t xml:space="preserve">; and</w:t>
      </w:r>
    </w:p>
    <w:p>
      <w:pPr>
        <w:spacing w:before="0" w:after="0" w:line="408" w:lineRule="exact"/>
        <w:ind w:left="0" w:right="0" w:firstLine="576"/>
        <w:jc w:val="left"/>
      </w:pPr>
      <w:r>
        <w:rPr>
          <w:u w:val="single"/>
        </w:rPr>
        <w:t xml:space="preserve">(p) A licensed practitioner of a health carrier for the purpose of ensuring patient safety of any individual enrolled in a health plan with the carrier. For purposes of this subsection (3)(p), "health carrier" and "health plan" have the meanings given in RCW 48.43.005</w:t>
      </w:r>
      <w:r>
        <w:rPr/>
        <w:t xml:space="preserve">.</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and total costs of connection must not impose an unreasonable burden on the provider utilizing the electronic health record. For the purposes of this section, "fully integrate" means that the electronic health record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must demonstrate that the facility's or entity's federally certified electronic health record is able to use the state health information exchange to fully integrate data to and from the prescription monitoring program, confirmed by the state health information exchange by:</w:t>
      </w:r>
    </w:p>
    <w:p>
      <w:pPr>
        <w:spacing w:before="0" w:after="0" w:line="408" w:lineRule="exact"/>
        <w:ind w:left="0" w:right="0" w:firstLine="576"/>
        <w:jc w:val="left"/>
      </w:pPr>
      <w:r>
        <w:rPr/>
        <w:t xml:space="preserve">(a) January 1, 2019, if their federally certified electronic health records system vendor is able to comply with subsection (1) of this section by December 1, 2018; or</w:t>
      </w:r>
    </w:p>
    <w:p>
      <w:pPr>
        <w:spacing w:before="0" w:after="0" w:line="408" w:lineRule="exact"/>
        <w:ind w:left="0" w:right="0" w:firstLine="576"/>
        <w:jc w:val="left"/>
      </w:pPr>
      <w:r>
        <w:rPr/>
        <w:t xml:space="preserve">(b) January 1, 2020, if their federally certified electronic health records system vendor is not able to comply with subsection (1) of this section by December 1, 2018.</w:t>
      </w:r>
    </w:p>
    <w:p>
      <w:pPr>
        <w:spacing w:before="0" w:after="0" w:line="408" w:lineRule="exact"/>
        <w:ind w:left="0" w:right="0" w:firstLine="576"/>
        <w:jc w:val="left"/>
      </w:pPr>
      <w:r>
        <w:rPr/>
        <w:t xml:space="preserve">(3) A facility, entity, or provider group required to fully integrate its electronic health records with data to and from the prescription monitoring program under this section shall provide annual progress reports to the department and the health care authority beginning January 1, 2019. The requirement to provide annual reports ends when integration is complete as confirmed by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 In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pain conditions listed will be eligible for coverage recommendations.</w:t>
      </w:r>
    </w:p>
    <w:p/>
    <w:p>
      <w:pPr>
        <w:jc w:val="center"/>
      </w:pPr>
      <w:r>
        <w:rPr>
          <w:b/>
        </w:rPr>
        <w:t>--- END ---</w:t>
      </w:r>
    </w:p>
    <w:sectPr>
      <w:pgNumType w:start="1"/>
      <w:footerReference xmlns:r="http://schemas.openxmlformats.org/officeDocument/2006/relationships" r:id="R133a2627717c4e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9247677fd4029" /><Relationship Type="http://schemas.openxmlformats.org/officeDocument/2006/relationships/footer" Target="/word/footer.xml" Id="R133a2627717c4e54" /></Relationships>
</file>