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2c14c8417e4dd0" /></Relationships>
</file>

<file path=word/document.xml><?xml version="1.0" encoding="utf-8"?>
<w:document xmlns:w="http://schemas.openxmlformats.org/wordprocessingml/2006/main">
  <w:body>
    <w:p>
      <w:r>
        <w:t>H-3620.1</w:t>
      </w:r>
    </w:p>
    <w:p>
      <w:pPr>
        <w:jc w:val="center"/>
      </w:pPr>
      <w:r>
        <w:t>_______________________________________________</w:t>
      </w:r>
    </w:p>
    <w:p/>
    <w:p>
      <w:pPr>
        <w:jc w:val="center"/>
      </w:pPr>
      <w:r>
        <w:rPr>
          <w:b/>
        </w:rPr>
        <w:t>HOUSE BILL 2519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Lovick, Hayes, Goodman, Klippert, Appleton, Sells, and Robinson</w:t>
      </w:r>
    </w:p>
    <w:p/>
    <w:p>
      <w:r>
        <w:rPr>
          <w:t xml:space="preserve">Read first time 01/10/18.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concealed pistol license eligibility requirements; amending RCW 9.41.345; and reenacting and amending RCW 9.41.070.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2015 c 130 s 2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has requested to be notified pursuant to RCW 9.41.340, a law enforcement agency must:</w:t>
      </w:r>
    </w:p>
    <w:p>
      <w:pPr>
        <w:spacing w:before="0" w:after="0" w:line="408" w:lineRule="exact"/>
        <w:ind w:left="0" w:right="0" w:firstLine="576"/>
        <w:jc w:val="left"/>
      </w:pPr>
      <w:r>
        <w:rPr/>
        <w:t xml:space="preserve">(a) Provide notice to the family or household member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 </w:t>
      </w:r>
      <w:r>
        <w:rPr>
          <w:u w:val="single"/>
        </w:rPr>
        <w:t xml:space="preserve">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u w:val="single"/>
        </w:rPr>
        <w:t xml:space="preserve">(5)</w:t>
      </w:r>
      <w:r>
        <w:rPr/>
        <w:t xml:space="preserve"> The provisions of chapter 130, Laws of 2015 shall not apply to circumstances where a law enforcement officer has momentarily obtained a firearm from an individual and would otherwise immediately return the firearm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2017 c 282 s 1 and 2017 C 174 s 1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w:t>
      </w:r>
      <w:r>
        <w:rPr>
          <w:u w:val="single"/>
        </w:rPr>
        <w:t xml:space="preserve">chapters 7.90, 7.92, or 7.94 RCW, or</w:t>
      </w:r>
      <w:r>
        <w:rPr/>
        <w:t xml:space="preserve">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
      <w:pPr>
        <w:jc w:val="center"/>
      </w:pPr>
      <w:r>
        <w:rPr>
          <w:b/>
        </w:rPr>
        <w:t>--- END ---</w:t>
      </w:r>
    </w:p>
    <w:sectPr>
      <w:pgNumType w:start="1"/>
      <w:footerReference xmlns:r="http://schemas.openxmlformats.org/officeDocument/2006/relationships" r:id="R16c1d1981dff4a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21be88eaed4b0d" /><Relationship Type="http://schemas.openxmlformats.org/officeDocument/2006/relationships/footer" Target="/word/footer.xml" Id="R16c1d1981dff4a56" /></Relationships>
</file>