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3f1bd0a1e348be" /></Relationships>
</file>

<file path=word/document.xml><?xml version="1.0" encoding="utf-8"?>
<w:document xmlns:w="http://schemas.openxmlformats.org/wordprocessingml/2006/main">
  <w:body>
    <w:p>
      <w:r>
        <w:t>H-4576.1</w:t>
      </w:r>
    </w:p>
    <w:p>
      <w:pPr>
        <w:jc w:val="center"/>
      </w:pPr>
      <w:r>
        <w:t>_______________________________________________</w:t>
      </w:r>
    </w:p>
    <w:p/>
    <w:p>
      <w:pPr>
        <w:jc w:val="center"/>
      </w:pPr>
      <w:r>
        <w:rPr>
          <w:b/>
        </w:rPr>
        <w:t>SECOND SUBSTITUTE HOUSE BILL 2578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Riccelli, Kirby, Macri, Peterson, Appleton, McBride, Frame, Doglio, Stanford, Goodman, Senn, Gregerson, Wylie, Sawyer, Kloba, Santos, Ormsby, Robinson, and Bergquist)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based on the source of income of an otherwise eligible prospective tenant or current tenant,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for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private market rental units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contribute the first five hundred dollars for improvements, and rent to the tenant whose source of income was conditioned on the real property passing inspection. Reimbursement under this subsection (1)(a) may also include up to fourteen days of lost rental income from the date of offer of housing to the tenant whose source of income was conditioned on the real property passing inspection until move in by that tenant;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 and</w:t>
      </w:r>
    </w:p>
    <w:p>
      <w:pPr>
        <w:spacing w:before="0" w:after="0" w:line="408" w:lineRule="exact"/>
        <w:ind w:left="0" w:right="0" w:firstLine="576"/>
        <w:jc w:val="left"/>
      </w:pPr>
      <w:r>
        <w:rPr/>
        <w:t xml:space="preserve">(c) Reimbursement for damages established pursuant to subsection (2) of this section.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and that a detailed written move-in property inspection report was prepared and signed by both the tenant and the landlord;</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before repair and after repair photographs,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whose source of income is specified in section 1(5) of this act and who is using public rental assistance to pay for rent, such as a housing choice rental voucher.</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Damages may exceed five thousand dollars, however,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 Damages may also include unpaid rent, provided that the landlord can evidence it to the department's satisfaction, in an amount not to exceed twenty percent of the total claim submitted.</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related to private market rental units during the time of their rental to tenants whose source of income is specified in section 1(5) of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
      <w:pPr>
        <w:jc w:val="center"/>
      </w:pPr>
      <w:r>
        <w:rPr>
          <w:b/>
        </w:rPr>
        <w:t>--- END ---</w:t>
      </w:r>
    </w:p>
    <w:sectPr>
      <w:pgNumType w:start="1"/>
      <w:footerReference xmlns:r="http://schemas.openxmlformats.org/officeDocument/2006/relationships" r:id="R377ccadd93304b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f18abb8a140b8" /><Relationship Type="http://schemas.openxmlformats.org/officeDocument/2006/relationships/footer" Target="/word/footer.xml" Id="R377ccadd93304bfe" /></Relationships>
</file>