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c0d518b5fe4e69" /></Relationships>
</file>

<file path=word/document.xml><?xml version="1.0" encoding="utf-8"?>
<w:document xmlns:w="http://schemas.openxmlformats.org/wordprocessingml/2006/main">
  <w:body>
    <w:p>
      <w:r>
        <w:t>H-4490.1</w:t>
      </w:r>
    </w:p>
    <w:p>
      <w:pPr>
        <w:jc w:val="center"/>
      </w:pPr>
      <w:r>
        <w:t>_______________________________________________</w:t>
      </w:r>
    </w:p>
    <w:p/>
    <w:p>
      <w:pPr>
        <w:jc w:val="center"/>
      </w:pPr>
      <w:r>
        <w:rPr>
          <w:b/>
        </w:rPr>
        <w:t>SUBSTITUTE HOUSE BILL 2607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Irwin, Wilcox, Fitzgibbon, Stokesbary, Jinkins, Muri, and Santos)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redevelopment of certain areas to encourage transit supportive densities and efficient land use; and amending RCW 84.14.007 and 84.14.040.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cities that are required to plan or choose to plan under the growth management act within urban centers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urban centers having insufficient housing opportunities that will increase and improve residential opportunities, including affordable housing opportunities, within these urban centers. To achieve these purposes, this chapter provides for special valuations in residentially deficient urban centers for eligible improvements associated with multiunit housing, which includes affordable housing. It is an additional purpose of this chapter to allow unincorporated areas of rural counties that are within urban growth areas to stimulate housing opportunities and for certain counties to stimulate housing opportunities </w:t>
      </w:r>
      <w:r>
        <w:rPr>
          <w:u w:val="single"/>
        </w:rPr>
        <w:t xml:space="preserve">and redevelopment of areas in urban growth areas to promote transit supportive densities and more efficient land use, and</w:t>
      </w:r>
      <w:r>
        <w:rPr/>
        <w:t xml:space="preserve"> near college campuses to promote dense, transit-oriented, walkable college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in a county seeking to promote transit supportive densities and efficient land use in an area that is: (A) Located no further than one and one-half miles from the boundary of a city with a population of at least two hundred thousand; and (B) within three quarters of a mile of a corridor where bus service is scheduled at least every fifteen minutes for no less than ten hours per 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
      <w:pPr>
        <w:jc w:val="center"/>
      </w:pPr>
      <w:r>
        <w:rPr>
          <w:b/>
        </w:rPr>
        <w:t>--- END ---</w:t>
      </w:r>
    </w:p>
    <w:sectPr>
      <w:pgNumType w:start="1"/>
      <w:footerReference xmlns:r="http://schemas.openxmlformats.org/officeDocument/2006/relationships" r:id="R2057ba8ae03544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d1c1a63b44e36" /><Relationship Type="http://schemas.openxmlformats.org/officeDocument/2006/relationships/footer" Target="/word/footer.xml" Id="R2057ba8ae03544ff" /></Relationships>
</file>