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d0664642cb4b1d" /></Relationships>
</file>

<file path=word/document.xml><?xml version="1.0" encoding="utf-8"?>
<w:document xmlns:w="http://schemas.openxmlformats.org/wordprocessingml/2006/main">
  <w:body>
    <w:p>
      <w:r>
        <w:t>H-4375.1</w:t>
      </w:r>
    </w:p>
    <w:p>
      <w:pPr>
        <w:jc w:val="center"/>
      </w:pPr>
      <w:r>
        <w:t>_______________________________________________</w:t>
      </w:r>
    </w:p>
    <w:p/>
    <w:p>
      <w:pPr>
        <w:jc w:val="center"/>
      </w:pPr>
      <w:r>
        <w:rPr>
          <w:b/>
        </w:rPr>
        <w:t>SUBSTITUTE HOUSE BILL 2686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Santos, Dolan, Frame, Bergquist, Doglio, Sells, and Ryu)</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plans; amending RCW 28A.230.090; and adding a new section to chapter 28A.230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2017 3rd sp.s. c 31 s 4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(c)(i) Each student must have a high school and beyond plan to guide the student's high school experience and prepare the student for postsecondary education or training and career.</w:t>
      </w:r>
    </w:p>
    <w:p>
      <w:pPr>
        <w:spacing w:before="0" w:after="0" w:line="408" w:lineRule="exact"/>
        <w:ind w:left="0" w:right="0" w:firstLine="576"/>
        <w:jc w:val="left"/>
      </w:pPr>
      <w:r>
        <w:rPr/>
        <w:t xml:space="preserve">(ii)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(iii)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have not met the high school graduation standard, to enable them to meet the standard. School districts are encouraged to involve parents and guardians in the process of developing and updating the high school and beyond plan</w:t>
      </w:r>
      <w:r>
        <w:rPr>
          <w:u w:val="single"/>
        </w:rPr>
        <w:t xml:space="preserve">, and the plan must be provided to the students' parents or guardians in their native language if that language is one of the two most frequently spoken non-English languages of students in the district. Nothing in this subsection (1)(c)(iii) prevents districts from providing high school and beyond plans to parents and guardians in additional languages that are not required by this subsection</w:t>
      </w:r>
      <w:r>
        <w:rPr/>
        <w:t xml:space="preserve">.</w:t>
      </w:r>
    </w:p>
    <w:p>
      <w:pPr>
        <w:spacing w:before="0" w:after="0" w:line="408" w:lineRule="exact"/>
        <w:ind w:left="0" w:right="0" w:firstLine="576"/>
        <w:jc w:val="left"/>
      </w:pPr>
      <w:r>
        <w:rPr/>
        <w:t xml:space="preserve">(iv)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w:t>
      </w:r>
      <w:r>
        <w:rPr>
          <w:u w:val="single"/>
        </w:rPr>
        <w:t xml:space="preserve">Identification of dual credit programs and the opportunities they create for students, including but not limited to career and technical education programs, running start programs, and college in the high school programs;</w:t>
      </w:r>
    </w:p>
    <w:p>
      <w:pPr>
        <w:spacing w:before="0" w:after="0" w:line="408" w:lineRule="exact"/>
        <w:ind w:left="0" w:right="0" w:firstLine="576"/>
        <w:jc w:val="left"/>
      </w:pPr>
      <w:r>
        <w:rPr>
          <w:u w:val="single"/>
        </w:rPr>
        <w:t xml:space="preserve">(D) Information about the college bound scholarship program established in chapter 28B.118 RCW;</w:t>
      </w:r>
    </w:p>
    <w:p>
      <w:pPr>
        <w:spacing w:before="0" w:after="0" w:line="408" w:lineRule="exact"/>
        <w:ind w:left="0" w:right="0" w:firstLine="576"/>
        <w:jc w:val="left"/>
      </w:pPr>
      <w:r>
        <w:rPr>
          <w:u w:val="single"/>
        </w:rPr>
        <w:t xml:space="preserve">(E)</w:t>
      </w:r>
      <w:r>
        <w:rPr/>
        <w:t xml:space="preserve"> A four-year plan for course taking that </w:t>
      </w:r>
      <w:r>
        <w:t>((</w:t>
      </w:r>
      <w:r>
        <w:rPr>
          <w:strike/>
        </w:rPr>
        <w:t xml:space="preserve">fulfills</w:t>
      </w:r>
      <w:r>
        <w:t>))</w:t>
      </w:r>
      <w:r>
        <w:rPr>
          <w:u w:val="single"/>
        </w:rPr>
        <w:t xml:space="preserve">:</w:t>
      </w:r>
    </w:p>
    <w:p>
      <w:pPr>
        <w:spacing w:before="0" w:after="0" w:line="408" w:lineRule="exact"/>
        <w:ind w:left="0" w:right="0" w:firstLine="576"/>
        <w:jc w:val="left"/>
      </w:pPr>
      <w:r>
        <w:rPr>
          <w:u w:val="single"/>
        </w:rPr>
        <w:t xml:space="preserve">(I) Includes information about options for satisfying state and local graduation requirements;</w:t>
      </w:r>
    </w:p>
    <w:p>
      <w:pPr>
        <w:spacing w:before="0" w:after="0" w:line="408" w:lineRule="exact"/>
        <w:ind w:left="0" w:right="0" w:firstLine="576"/>
        <w:jc w:val="left"/>
      </w:pPr>
      <w:r>
        <w:rPr>
          <w:u w:val="single"/>
        </w:rPr>
        <w:t xml:space="preserve">(II) Satisfies</w:t>
      </w:r>
      <w:r>
        <w:rPr/>
        <w:t xml:space="preserve"> state and local graduation requirements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(III) A</w:t>
      </w:r>
      <w:r>
        <w:rPr/>
        <w:t xml:space="preserve">ligns with the student's </w:t>
      </w:r>
      <w:r>
        <w:t>((</w:t>
      </w:r>
      <w:r>
        <w:rPr>
          <w:strike/>
        </w:rPr>
        <w:t xml:space="preserve">career and educational</w:t>
      </w:r>
      <w:r>
        <w:t>))</w:t>
      </w:r>
      <w:r>
        <w:rPr/>
        <w:t xml:space="preserve"> </w:t>
      </w:r>
      <w:r>
        <w:rPr>
          <w:u w:val="single"/>
        </w:rPr>
        <w:t xml:space="preserve">secondary and postsecondary</w:t>
      </w:r>
      <w:r>
        <w:rPr/>
        <w:t xml:space="preserve"> goals;</w:t>
      </w:r>
    </w:p>
    <w:p>
      <w:pPr>
        <w:spacing w:before="0" w:after="0" w:line="408" w:lineRule="exact"/>
        <w:ind w:left="0" w:right="0" w:firstLine="576"/>
        <w:jc w:val="left"/>
      </w:pPr>
      <w:r>
        <w:rPr>
          <w:u w:val="single"/>
        </w:rPr>
        <w:t xml:space="preserve">(IV) Identifies dual credit programs and the opportunities they create for students; and</w:t>
      </w:r>
    </w:p>
    <w:p>
      <w:pPr>
        <w:spacing w:before="0" w:after="0" w:line="408" w:lineRule="exact"/>
        <w:ind w:left="0" w:right="0" w:firstLine="576"/>
        <w:jc w:val="left"/>
      </w:pPr>
      <w:r>
        <w:rPr>
          <w:u w:val="single"/>
        </w:rPr>
        <w:t xml:space="preserve">(V) Includes information about the college bound scholarship program;</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RCW 28A.230.090. The identified best practices, which must consider differences in enrollment and other factors that distinguish districts from one another, must be posted on the web site of the office of the superintendent of public instruction by September 1, 2019, and may be revised periodically as necessary.</w:t>
      </w:r>
    </w:p>
    <w:p/>
    <w:p>
      <w:pPr>
        <w:jc w:val="center"/>
      </w:pPr>
      <w:r>
        <w:rPr>
          <w:b/>
        </w:rPr>
        <w:t>--- END ---</w:t>
      </w:r>
    </w:p>
    <w:sectPr>
      <w:pgNumType w:start="1"/>
      <w:footerReference xmlns:r="http://schemas.openxmlformats.org/officeDocument/2006/relationships" r:id="R9b99bc3f43f9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52c7e9e6d4b20" /><Relationship Type="http://schemas.openxmlformats.org/officeDocument/2006/relationships/footer" Target="/word/footer.xml" Id="R9b99bc3f43f94570" /></Relationships>
</file>