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0f27f04934f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2718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Shea and Goodman)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sixty day period following service of the notice of seizure in the case of personal property and within the one hundred twenty day period following service of the notice of seizure in the case of real property.</w:t>
      </w:r>
    </w:p>
    <w:p>
      <w:pPr>
        <w:spacing w:before="0" w:after="0" w:line="408" w:lineRule="exact"/>
        <w:ind w:left="0" w:right="0" w:firstLine="576"/>
        <w:jc w:val="left"/>
      </w:pPr>
      <w:r>
        <w:rPr/>
        <w:t xml:space="preserve">(4) The hearing must be before a hearing officer who is not in the direct chain of command of the chief law enforcement officer of the seizing agency, except that where the seizing agency is a state agency as defined in RCW 34.12.020(4), the hearing must be before a hearing officer who is not in the direct chain of command of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Whether the forfeiture was resolved by way of a default, contested hearing or agreed disposition or settlement;</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state treasurer shall provide a written warning to the seizing agency. If a seizing agency fails to file the report within thirty days after it is due for a second time,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pPr>
        <w:spacing w:before="0" w:after="0" w:line="408" w:lineRule="exact"/>
        <w:ind w:left="0" w:right="0" w:firstLine="576"/>
        <w:jc w:val="left"/>
      </w:pPr>
      <w:r>
        <w:rPr/>
        <w:t xml:space="preserve">(8)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0" w:after="0" w:line="408" w:lineRule="exact"/>
        <w:ind w:left="0" w:right="0" w:firstLine="576"/>
        <w:jc w:val="left"/>
      </w:pPr>
      <w:r>
        <w:rPr>
          <w:u w:val="single"/>
        </w:rPr>
        <w:t xml:space="preserve">(4)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0" w:after="0" w:line="408" w:lineRule="exact"/>
        <w:ind w:left="0" w:right="0" w:firstLine="576"/>
        <w:jc w:val="left"/>
      </w:pPr>
      <w:r>
        <w:rPr>
          <w:u w:val="single"/>
        </w:rPr>
        <w:t xml:space="preserve">(b)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sixty</w:t>
      </w:r>
      <w:r>
        <w:rPr/>
        <w:t xml:space="preserve"> day period following service of the notice of seizure in the case of personal property and within the </w:t>
      </w:r>
      <w:r>
        <w:t>((</w:t>
      </w:r>
      <w:r>
        <w:rPr>
          <w:strike/>
        </w:rPr>
        <w:t xml:space="preserve">ninety-day</w:t>
      </w:r>
      <w:r>
        <w:t>))</w:t>
      </w:r>
      <w:r>
        <w:rPr/>
        <w:t xml:space="preserve"> </w:t>
      </w:r>
      <w:r>
        <w:rPr>
          <w:u w:val="single"/>
        </w:rPr>
        <w:t xml:space="preserve">one hundred twenty 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w:t>
      </w:r>
      <w:r>
        <w:t>((</w:t>
      </w:r>
      <w:r>
        <w:rPr>
          <w:strike/>
        </w:rPr>
        <w:t xml:space="preserve">In addition, in a court hearing between two or more claimants to the article or articles involved, the prevailing party is entitled to a judgment for costs and reasonable attorneys' fees.</w:t>
      </w:r>
      <w:r>
        <w:t>))</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2018.</w:t>
      </w:r>
    </w:p>
    <w:p/>
    <w:p>
      <w:pPr>
        <w:jc w:val="center"/>
      </w:pPr>
      <w:r>
        <w:rPr>
          <w:b/>
        </w:rPr>
        <w:t>--- END ---</w:t>
      </w:r>
    </w:p>
    <w:sectPr>
      <w:pgNumType w:start="1"/>
      <w:footerReference xmlns:r="http://schemas.openxmlformats.org/officeDocument/2006/relationships" r:id="Rc44ec5f68dfc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28201029047a5" /><Relationship Type="http://schemas.openxmlformats.org/officeDocument/2006/relationships/footer" Target="/word/footer.xml" Id="Rc44ec5f68dfc4936" /></Relationships>
</file>