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297f9dac24302" /></Relationships>
</file>

<file path=word/document.xml><?xml version="1.0" encoding="utf-8"?>
<w:document xmlns:w="http://schemas.openxmlformats.org/wordprocessingml/2006/main">
  <w:body>
    <w:p>
      <w:r>
        <w:t>H-3402.2</w:t>
      </w:r>
    </w:p>
    <w:p>
      <w:pPr>
        <w:jc w:val="center"/>
      </w:pPr>
      <w:r>
        <w:t>_______________________________________________</w:t>
      </w:r>
    </w:p>
    <w:p/>
    <w:p>
      <w:pPr>
        <w:jc w:val="center"/>
      </w:pPr>
      <w:r>
        <w:rPr>
          <w:b/>
        </w:rPr>
        <w:t>HOUSE BILL 2761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Griffey, Dent, Orwall, Senn, Eslick, Kilduff, Graves, Stonier, Jinkins, Tharinger, and Reeves</w:t>
      </w:r>
    </w:p>
    <w:p/>
    <w:p>
      <w:r>
        <w:rPr>
          <w:t xml:space="preserve">Read first time 01/15/18.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placement stability for children and youth involved with child welfare services; amending RCW 13.34.040, 13.34.065, 26.44.272, 74.13.065, and 13.34.260; reenacting and amending RCW 13.34.145; adding new sections to chapter 13.34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stable, nurturing environments and connection to family are both critical to the well-being of children in out-of-home care. The legislature finds that early identification of a child's relatives allows the placement of children with family and increases placement stability. The legislature also finds that, when a child is in nonrelative care for an extended period and a relative is identified, the court must consider both the value of the child's bonding and attachment to long-term caregivers and the value of family attachment when determining permanency. The legislature affirms that the provisions of the state Indian child welfare act, chapter 13.38 RCW, and the federal Indian child welfare act, 25 U.S.C. Sec. 1901 et seq., shall prevail for any Indian child when there is a conflict with any state child welfare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Chapter 13.38 RCW and 25 U.S.C. Sec. 1901 et seq. shall apply in all child custody proceedings as defined in these acts. Whenever there is a conflict between chapter 13.32A, 13.34, 13.36, 26.10, or 26.33 RCW, the provisions of chapter 13.38 RCW and 25 U.S.C. Sec. 1901 et seq. shall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2011 c 309 s 23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In counties having paid probation officers, these officers shall, to the extent possible, first determine if a petition is reasonably justifiable. Each petition shall be verified and contain a statement of facts constituting a dependency, and the names and residence, if known to the petitioner, of the parents, guardian, or custodian of the alleged dependent child. </w:t>
      </w:r>
      <w:r>
        <w:rPr>
          <w:u w:val="single"/>
        </w:rPr>
        <w:t xml:space="preserve">Each petition shall also contain a description of the department's efforts to identify relatives and other suitable persons who can provide support for the family and potential placement of the child.</w:t>
      </w:r>
    </w:p>
    <w:p>
      <w:pPr>
        <w:spacing w:before="0" w:after="0" w:line="408" w:lineRule="exact"/>
        <w:ind w:left="0" w:right="0" w:firstLine="576"/>
        <w:jc w:val="left"/>
      </w:pPr>
      <w:r>
        <w:rPr/>
        <w:t xml:space="preserve">(3)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in those areas in which child welfare services are being provided by a supervising agency, the supervising agency shall assume case management responsibilities of the case. The department or supervising agency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or supervising agency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supervising agency's plan or is ordered by the court; and</w:t>
      </w:r>
    </w:p>
    <w:p>
      <w:pPr>
        <w:spacing w:before="0" w:after="0" w:line="408" w:lineRule="exact"/>
        <w:ind w:left="0" w:right="0" w:firstLine="576"/>
        <w:jc w:val="left"/>
      </w:pPr>
      <w:r>
        <w:rPr/>
        <w:t xml:space="preserve">(iii) Cooperate with the department or supervising agency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supervising agency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r>
        <w:t>))</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supervising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department requests an order authorizing continued shelter care pursuant to this subsection, the department must prior to or at that time submit a written report to all parties and the court that includes:</w:t>
      </w:r>
    </w:p>
    <w:p>
      <w:pPr>
        <w:spacing w:before="0" w:after="0" w:line="408" w:lineRule="exact"/>
        <w:ind w:left="0" w:right="0" w:firstLine="576"/>
        <w:jc w:val="left"/>
      </w:pPr>
      <w:r>
        <w:rPr>
          <w:u w:val="single"/>
        </w:rPr>
        <w:t xml:space="preserve">(A) The specific efforts taken by the department to identify relatives and if authorized other suitable persons for potential placement of the child or support for the family; and</w:t>
      </w:r>
    </w:p>
    <w:p>
      <w:pPr>
        <w:spacing w:before="0" w:after="0" w:line="408" w:lineRule="exact"/>
        <w:ind w:left="0" w:right="0" w:firstLine="576"/>
        <w:jc w:val="left"/>
      </w:pPr>
      <w:r>
        <w:rPr>
          <w:u w:val="single"/>
        </w:rPr>
        <w:t xml:space="preserve">(B) The efforts taken by the department to support natural connections to the family.</w:t>
      </w:r>
    </w:p>
    <w:p>
      <w:pPr>
        <w:spacing w:before="0" w:after="0" w:line="408" w:lineRule="exact"/>
        <w:ind w:left="0" w:right="0" w:firstLine="576"/>
        <w:jc w:val="left"/>
      </w:pPr>
      <w:r>
        <w:rPr>
          <w:u w:val="single"/>
        </w:rPr>
        <w:t xml:space="preserve">(iii) The court shall not condition authorization of continued shelter care upon the written report or efforts taken by the department.</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 </w:t>
      </w:r>
      <w:r>
        <w:rPr>
          <w:u w:val="single"/>
        </w:rPr>
        <w:t xml:space="preserve">When determining a child's out-of-home placement, the court shall give weight to the child's stability of placement, length of stay, and attachment to the current long-term care provider in determining what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w:t>
      </w:r>
      <w:r>
        <w:t>((</w:t>
      </w:r>
      <w:r>
        <w:rPr>
          <w:strike/>
        </w:rPr>
        <w:t xml:space="preserve">and</w:t>
      </w:r>
      <w:r>
        <w:t>))</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r>
        <w:rPr>
          <w:u w:val="single"/>
        </w:rPr>
        <w:t xml:space="preserve">; and</w:t>
      </w:r>
    </w:p>
    <w:p>
      <w:pPr>
        <w:spacing w:before="0" w:after="0" w:line="408" w:lineRule="exact"/>
        <w:ind w:left="0" w:right="0" w:firstLine="576"/>
        <w:jc w:val="left"/>
      </w:pPr>
      <w:r>
        <w:rPr>
          <w:u w:val="single"/>
        </w:rPr>
        <w:t xml:space="preserve">(vii) If the child is not placed with a relative or other suitable person, determine what efforts the department has made to identify relatives and other suitable persons for potential placement</w:t>
      </w:r>
      <w:r>
        <w:rPr/>
        <w:t xml:space="preserv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After a child has remained in out-of-home care for one year since the filing of a dependency petition, in determining placement, the court shall weigh the benefits of relative placement with the stability provided by and attachment to a long-term caregiver.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272</w:t>
      </w:r>
      <w:r>
        <w:rPr/>
        <w:t xml:space="preserve"> and 2014 c 160 s 1 are each amended to read as follows:</w:t>
      </w:r>
    </w:p>
    <w:p>
      <w:pPr>
        <w:spacing w:before="0" w:after="0" w:line="408" w:lineRule="exact"/>
        <w:ind w:left="0" w:right="0" w:firstLine="576"/>
        <w:jc w:val="left"/>
      </w:pPr>
      <w:r>
        <w:rPr/>
        <w:t xml:space="preserve">(1) The family assessment response worker must assess for child safety and child well-being when collaborating with a family to determine the need for child care, preschool, or home visiting services and, as appropriate, the family assessment response worker must refer children to preschool programs that are enrolled in the early achievers program and rate at a level 3, 4, or 5 unless:</w:t>
      </w:r>
    </w:p>
    <w:p>
      <w:pPr>
        <w:spacing w:before="0" w:after="0" w:line="408" w:lineRule="exact"/>
        <w:ind w:left="0" w:right="0" w:firstLine="576"/>
        <w:jc w:val="left"/>
      </w:pPr>
      <w:r>
        <w:rPr/>
        <w:t xml:space="preserve">(a) The family lives in an area with no local preschool programs that rate at a level 3, 4, or 5 in the early achievers program;</w:t>
      </w:r>
    </w:p>
    <w:p>
      <w:pPr>
        <w:spacing w:before="0" w:after="0" w:line="408" w:lineRule="exact"/>
        <w:ind w:left="0" w:right="0" w:firstLine="576"/>
        <w:jc w:val="left"/>
      </w:pPr>
      <w:r>
        <w:rPr/>
        <w:t xml:space="preserve">(b) The local preschool programs that rate at a level 3, 4, or 5 in the early achievers program are not able to meet the needs of the child; or</w:t>
      </w:r>
    </w:p>
    <w:p>
      <w:pPr>
        <w:spacing w:before="0" w:after="0" w:line="408" w:lineRule="exact"/>
        <w:ind w:left="0" w:right="0" w:firstLine="576"/>
        <w:jc w:val="left"/>
      </w:pPr>
      <w:r>
        <w:rPr/>
        <w:t xml:space="preserve">(c) The child is attending a preschool program prior to participating in family assessment response and the parent or caregiver does not want the child to change preschool programs.</w:t>
      </w:r>
    </w:p>
    <w:p>
      <w:pPr>
        <w:spacing w:before="0" w:after="0" w:line="408" w:lineRule="exact"/>
        <w:ind w:left="0" w:right="0" w:firstLine="576"/>
        <w:jc w:val="left"/>
      </w:pPr>
      <w:r>
        <w:rPr/>
        <w:t xml:space="preserve">(2) The family assessment response worker may make child care referrals for nonschool-aged children to licensed child care programs that rate at a level 3, 4, or 5 in the early achievers program described in RCW 43.215.100 unless:</w:t>
      </w:r>
    </w:p>
    <w:p>
      <w:pPr>
        <w:spacing w:before="0" w:after="0" w:line="408" w:lineRule="exact"/>
        <w:ind w:left="0" w:right="0" w:firstLine="576"/>
        <w:jc w:val="left"/>
      </w:pPr>
      <w:r>
        <w:rPr/>
        <w:t xml:space="preserve">(a) The family lives in an area with no local programs that rate at level 3, 4, or 5 in the early achievers program;</w:t>
      </w:r>
    </w:p>
    <w:p>
      <w:pPr>
        <w:spacing w:before="0" w:after="0" w:line="408" w:lineRule="exact"/>
        <w:ind w:left="0" w:right="0" w:firstLine="576"/>
        <w:jc w:val="left"/>
      </w:pPr>
      <w:r>
        <w:rPr/>
        <w:t xml:space="preserve">(b) The local child care programs that rate at a level 3, 4, or 5 in the early achievers program are not able to meet the needs of the child; or</w:t>
      </w:r>
    </w:p>
    <w:p>
      <w:pPr>
        <w:spacing w:before="0" w:after="0" w:line="408" w:lineRule="exact"/>
        <w:ind w:left="0" w:right="0" w:firstLine="576"/>
        <w:jc w:val="left"/>
      </w:pPr>
      <w:r>
        <w:rPr/>
        <w:t xml:space="preserve">(c) The child is attending a child care program prior to participating in family assessment response and the parent or caregiver does not want the child to change child care programs.</w:t>
      </w:r>
    </w:p>
    <w:p>
      <w:pPr>
        <w:spacing w:before="0" w:after="0" w:line="408" w:lineRule="exact"/>
        <w:ind w:left="0" w:right="0" w:firstLine="576"/>
        <w:jc w:val="left"/>
      </w:pPr>
      <w:r>
        <w:rPr/>
        <w:t xml:space="preserve">(3) The family assessment response worker shall, when appropriate, provide referrals to high quality child care and early learning programs.</w:t>
      </w:r>
    </w:p>
    <w:p>
      <w:pPr>
        <w:spacing w:before="0" w:after="0" w:line="408" w:lineRule="exact"/>
        <w:ind w:left="0" w:right="0" w:firstLine="576"/>
        <w:jc w:val="left"/>
      </w:pPr>
      <w:r>
        <w:rPr/>
        <w:t xml:space="preserve">(4) The family assessment response worker shall, when appropriate, provide referrals to state and federally subsidized programs such as, but not limited to, licensed child care programs that receive state subsidy pursuant to RCW 43.215.135; early childhood education and assistance programs; head start programs; and early head start programs.</w:t>
      </w:r>
    </w:p>
    <w:p>
      <w:pPr>
        <w:spacing w:before="0" w:after="0" w:line="408" w:lineRule="exact"/>
        <w:ind w:left="0" w:right="0" w:firstLine="576"/>
        <w:jc w:val="left"/>
      </w:pPr>
      <w:r>
        <w:rPr/>
        <w:t xml:space="preserve">(5) Prior to closing the family assessment response case, the family assessment response worker must, when appropriate, discuss child care and early learning services with the child's parent or caregiver.</w:t>
      </w:r>
    </w:p>
    <w:p>
      <w:pPr>
        <w:spacing w:before="0" w:after="0" w:line="408" w:lineRule="exact"/>
        <w:ind w:left="0" w:right="0" w:firstLine="576"/>
        <w:jc w:val="left"/>
      </w:pPr>
      <w:r>
        <w:rPr>
          <w:u w:val="single"/>
        </w:rPr>
        <w:t xml:space="preserve">(6)</w:t>
      </w:r>
      <w:r>
        <w:rPr/>
        <w:t xml:space="preserve"> If the family plans to use child care or early learning services, the family assessment response worker must work with the family to facilitate enrollment.</w:t>
      </w:r>
    </w:p>
    <w:p>
      <w:pPr>
        <w:spacing w:before="0" w:after="0" w:line="408" w:lineRule="exact"/>
        <w:ind w:left="0" w:right="0" w:firstLine="576"/>
        <w:jc w:val="left"/>
      </w:pPr>
      <w:r>
        <w:rPr>
          <w:u w:val="single"/>
        </w:rPr>
        <w:t xml:space="preserve">(7) The family assessment response worker shall, if authorized by the family, make reasonable efforts to locate relatives or other suitable persons who can provide support to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or supervising agency shall conduct a social study whenever a child is placed in out-of-home care under the supervision of the department or supervising agency.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0" w:after="0" w:line="408" w:lineRule="exact"/>
        <w:ind w:left="0" w:right="0" w:firstLine="576"/>
        <w:jc w:val="left"/>
      </w:pPr>
      <w:r>
        <w:rPr>
          <w:u w:val="single"/>
        </w:rPr>
        <w:t xml:space="preserve">(3) The department shall conduct an extensive family search beginning at the time a child is placed in out-of-home care to fulfill the requirements of this section and the family search requirements in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260</w:t>
      </w:r>
      <w:r>
        <w:rPr/>
        <w:t xml:space="preserve"> and 2011 c 89 s 5 are each amended to read as follows:</w:t>
      </w:r>
    </w:p>
    <w:p>
      <w:pPr>
        <w:spacing w:before="0" w:after="0" w:line="408" w:lineRule="exact"/>
        <w:ind w:left="0" w:right="0" w:firstLine="576"/>
        <w:jc w:val="left"/>
      </w:pPr>
      <w:r>
        <w:rPr/>
        <w:t xml:space="preserve">(1) In an attempt to minimize the inherent intrusion in the lives of families involved in the foster care system and to maintain parental authority where appropriate, the department, absent good cause, shall follow the wishes of the natural parent regarding the placement of the child with a relative or other suitable person pursuant to RCW 13.34.130. Preferences such as family constellation, sibling relationships, ethnicity, and religion shall be considered when matching children to foster homes. Parental authority is appropriate in areas that are not connected with the abuse or neglect that resulted in the dependency and shall be integrated through the foster care team.</w:t>
      </w:r>
    </w:p>
    <w:p>
      <w:pPr>
        <w:spacing w:before="0" w:after="0" w:line="408" w:lineRule="exact"/>
        <w:ind w:left="0" w:right="0" w:firstLine="576"/>
        <w:jc w:val="left"/>
      </w:pPr>
      <w:r>
        <w:rPr/>
        <w:t xml:space="preserve">(2) When a child is placed in out-of-home care, relatives, other suitable persons, and foster parents are encouraged to:</w:t>
      </w:r>
    </w:p>
    <w:p>
      <w:pPr>
        <w:spacing w:before="0" w:after="0" w:line="408" w:lineRule="exact"/>
        <w:ind w:left="0" w:right="0" w:firstLine="576"/>
        <w:jc w:val="left"/>
      </w:pPr>
      <w:r>
        <w:rPr/>
        <w:t xml:space="preserve">(a) Provide consultation to the foster care team based upon their experience with the child placed in their care;</w:t>
      </w:r>
    </w:p>
    <w:p>
      <w:pPr>
        <w:spacing w:before="0" w:after="0" w:line="408" w:lineRule="exact"/>
        <w:ind w:left="0" w:right="0" w:firstLine="576"/>
        <w:jc w:val="left"/>
      </w:pPr>
      <w:r>
        <w:rPr/>
        <w:t xml:space="preserve">(b) Assist the birth parents by helping them understand their child's needs and correlating appropriate parenting responses;</w:t>
      </w:r>
    </w:p>
    <w:p>
      <w:pPr>
        <w:spacing w:before="0" w:after="0" w:line="408" w:lineRule="exact"/>
        <w:ind w:left="0" w:right="0" w:firstLine="576"/>
        <w:jc w:val="left"/>
      </w:pPr>
      <w:r>
        <w:rPr/>
        <w:t xml:space="preserve">(c) Participate in educational activities, and enter into community-building activities with birth families and other foster families;</w:t>
      </w:r>
    </w:p>
    <w:p>
      <w:pPr>
        <w:spacing w:before="0" w:after="0" w:line="408" w:lineRule="exact"/>
        <w:ind w:left="0" w:right="0" w:firstLine="576"/>
        <w:jc w:val="left"/>
      </w:pPr>
      <w:r>
        <w:rPr/>
        <w:t xml:space="preserve">(d) Transport children to family time visits with birth families and assist children and their families in maximizing the purposefulness of family time.</w:t>
      </w:r>
    </w:p>
    <w:p>
      <w:pPr>
        <w:spacing w:before="0" w:after="0" w:line="408" w:lineRule="exact"/>
        <w:ind w:left="0" w:right="0" w:firstLine="576"/>
        <w:jc w:val="left"/>
      </w:pPr>
      <w:r>
        <w:rPr/>
        <w:t xml:space="preserve">(3) </w:t>
      </w:r>
      <w:r>
        <w:rPr>
          <w:u w:val="single"/>
        </w:rPr>
        <w:t xml:space="preserve">The department shall encourage and support continued relationships between birth families and adoptive parents when that relationship is in the best interest of the child.</w:t>
      </w:r>
    </w:p>
    <w:p>
      <w:pPr>
        <w:spacing w:before="0" w:after="0" w:line="408" w:lineRule="exact"/>
        <w:ind w:left="0" w:right="0" w:firstLine="576"/>
        <w:jc w:val="left"/>
      </w:pPr>
      <w:r>
        <w:rPr>
          <w:u w:val="single"/>
        </w:rPr>
        <w:t xml:space="preserve">(4)</w:t>
      </w:r>
      <w:r>
        <w:rPr/>
        <w:t xml:space="preserve"> For purposes of this section:</w:t>
      </w:r>
    </w:p>
    <w:p>
      <w:pPr>
        <w:spacing w:before="0" w:after="0" w:line="408" w:lineRule="exact"/>
        <w:ind w:left="0" w:right="0" w:firstLine="576"/>
        <w:jc w:val="left"/>
      </w:pPr>
      <w:r>
        <w:rPr/>
        <w:t xml:space="preserve">(a) "Foster care team" means the relative, other suitable person, or foster parent currently providing care, the currently assigned department employee, and the parent or parents; and</w:t>
      </w:r>
    </w:p>
    <w:p>
      <w:pPr>
        <w:spacing w:before="0" w:after="0" w:line="408" w:lineRule="exact"/>
        <w:ind w:left="0" w:right="0" w:firstLine="576"/>
        <w:jc w:val="left"/>
      </w:pPr>
      <w:r>
        <w:rPr/>
        <w:t xml:space="preserve">(b) "Birth family" means the persons described in RCW 74.15.020(2)(a).</w:t>
      </w:r>
    </w:p>
    <w:p/>
    <w:p>
      <w:pPr>
        <w:jc w:val="center"/>
      </w:pPr>
      <w:r>
        <w:rPr>
          <w:b/>
        </w:rPr>
        <w:t>--- END ---</w:t>
      </w:r>
    </w:p>
    <w:sectPr>
      <w:pgNumType w:start="1"/>
      <w:footerReference xmlns:r="http://schemas.openxmlformats.org/officeDocument/2006/relationships" r:id="R4f6b07afa9094e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df45d45a946f9" /><Relationship Type="http://schemas.openxmlformats.org/officeDocument/2006/relationships/footer" Target="/word/footer.xml" Id="R4f6b07afa9094e6f" /></Relationships>
</file>