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ebea6c5404def" /></Relationships>
</file>

<file path=word/document.xml><?xml version="1.0" encoding="utf-8"?>
<w:document xmlns:w="http://schemas.openxmlformats.org/wordprocessingml/2006/main">
  <w:body>
    <w:p>
      <w:r>
        <w:t>H-3469.1</w:t>
      </w:r>
    </w:p>
    <w:p>
      <w:pPr>
        <w:jc w:val="center"/>
      </w:pPr>
      <w:r>
        <w:t>_______________________________________________</w:t>
      </w:r>
    </w:p>
    <w:p/>
    <w:p>
      <w:pPr>
        <w:jc w:val="center"/>
      </w:pPr>
      <w:r>
        <w:rPr>
          <w:b/>
        </w:rPr>
        <w:t>HOUSE BILL 2769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Maycumber and Haler</w:t>
      </w:r>
    </w:p>
    <w:p/>
    <w:p>
      <w:r>
        <w:rPr>
          <w:t xml:space="preserve">Read first time 01/15/18.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regulatory relief from greenhouse gas emissions rules for producers of agricultural commodities and food products; amending RCW 70.94.151 and 70.94.331; adding a new section to chapter 70.94 RCW; and adding a new section to chapter 43.31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Pr>
        <w:spacing w:before="0" w:after="0" w:line="408" w:lineRule="exact"/>
        <w:ind w:left="0" w:right="0" w:firstLine="576"/>
        <w:jc w:val="left"/>
      </w:pPr>
      <w:r>
        <w:rPr>
          <w:u w:val="single"/>
        </w:rPr>
        <w:t xml:space="preserve">(6) Any rule regulating greenhouse gas emissions of producers of agricultural commodities or food products must be consistent with section 3 of this act. This subsection does not provide authority to regulate greenhouse gas emissions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u w:val="single"/>
        </w:rPr>
        <w:t xml:space="preserve">(10) Any rule regulating greenhouse gas emissions of producers of agricultural commodities or food products must be consistent with section 3 of this act. This subsection does not provide authority to regulate greenhouse gas emissions by rule.</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This section does not provide authority to regulate greenhouse gas emissions by rule.</w:t>
      </w:r>
    </w:p>
    <w:p>
      <w:pPr>
        <w:spacing w:before="0" w:after="0" w:line="408" w:lineRule="exact"/>
        <w:ind w:left="0" w:right="0" w:firstLine="576"/>
        <w:jc w:val="left"/>
      </w:pPr>
      <w:r>
        <w:rPr/>
        <w:t xml:space="preserve">(2) If a rule is created that regulates greenhouse gas emissions of agricultural activities and food processing, the producers of agricultural commodities as defined in RCW 15.66.010 or producers of food products as defined in RCW 69.04.008 may request the department to calculate greenhouse gas emissions in a comparison of a specified competitor's agricultural commodity or food product imported from out-of-state against the same type of agricultural commodity if obtained in the state. This calculation will include the gross estimated carbon emissions, including transportation of the agricultural commodity or food product to the state; the estimated difference in carbon usage if the agricultural commodity or food product was obtained within the state versus the comparable out-of-state agricultural commodity or food product, including transportation. Factors in the calculation may include labor, business and occupation taxes, energy use of vehicles involved in production or transport, and clean air credit purchasing.</w:t>
      </w:r>
    </w:p>
    <w:p>
      <w:pPr>
        <w:spacing w:before="0" w:after="0" w:line="408" w:lineRule="exact"/>
        <w:ind w:left="0" w:right="0" w:firstLine="576"/>
        <w:jc w:val="left"/>
      </w:pPr>
      <w:r>
        <w:rPr/>
        <w:t xml:space="preserve">(3) If the department determines that the greenhouse gas emissions from the out-of-state produced agricultural commodity or food product exceed the amount of greenhouse gas emissions of producing the in-state agricultural commodity or food product, the department must provide regulatory relief for the producer of the agricultural commodity or food product to assure that the producer remains competitive in the global market. This includes providing an exemption from any rules addressing greenhouse gas emissions, including any that limit emissions, price emissions, require purchase of credits, or add additional costs to the production of the agricultural commodity or food product.</w:t>
      </w:r>
    </w:p>
    <w:p>
      <w:pPr>
        <w:spacing w:before="0" w:after="0" w:line="408" w:lineRule="exact"/>
        <w:ind w:left="0" w:right="0" w:firstLine="576"/>
        <w:jc w:val="left"/>
      </w:pPr>
      <w:r>
        <w:rPr/>
        <w:t xml:space="preserve">(4) The producer of the agricultural commodity or food product may provide the department with a comparison from a reputable greenhouse gas emissions expert requesting regulatory relief in lieu of requesting the department to make the calculation in subsection (2) of this section.</w:t>
      </w:r>
    </w:p>
    <w:p>
      <w:pPr>
        <w:spacing w:before="0" w:after="0" w:line="408" w:lineRule="exact"/>
        <w:ind w:left="0" w:right="0" w:firstLine="576"/>
        <w:jc w:val="left"/>
      </w:pPr>
      <w:r>
        <w:rPr/>
        <w:t xml:space="preserve">(5) The department must report what regulatory relief the department granted to producers pursuant to this section to the appropriate committees of the legislature by November 30th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department in consultation with the department of ecology, transportation-industry experts, and other business related interests must create a greenhouse gas emissions shipping modeling tool that allows a producer of a product to estimate the amount of greenhouse gas emissions produced when importing products and goods from out-of-state locations. The model may address more than transportation emissions, including differences in energy sources, environmental regulations, and whether the product was created using emission reducing technology that is comparable to state requirements.</w:t>
      </w:r>
    </w:p>
    <w:p/>
    <w:p>
      <w:pPr>
        <w:jc w:val="center"/>
      </w:pPr>
      <w:r>
        <w:rPr>
          <w:b/>
        </w:rPr>
        <w:t>--- END ---</w:t>
      </w:r>
    </w:p>
    <w:sectPr>
      <w:pgNumType w:start="1"/>
      <w:footerReference xmlns:r="http://schemas.openxmlformats.org/officeDocument/2006/relationships" r:id="Rc982604133d546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68b57aa94419b" /><Relationship Type="http://schemas.openxmlformats.org/officeDocument/2006/relationships/footer" Target="/word/footer.xml" Id="Rc982604133d54650" /></Relationships>
</file>