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3aba87126243c9" /></Relationships>
</file>

<file path=word/document.xml><?xml version="1.0" encoding="utf-8"?>
<w:document xmlns:w="http://schemas.openxmlformats.org/wordprocessingml/2006/main">
  <w:body>
    <w:p>
      <w:r>
        <w:t>H-4657.1</w:t>
      </w:r>
    </w:p>
    <w:p>
      <w:pPr>
        <w:jc w:val="center"/>
      </w:pPr>
      <w:r>
        <w:t>_______________________________________________</w:t>
      </w:r>
    </w:p>
    <w:p/>
    <w:p>
      <w:pPr>
        <w:jc w:val="center"/>
      </w:pPr>
      <w:r>
        <w:rPr>
          <w:b/>
        </w:rPr>
        <w:t>SECOND SUBSTITUTE HOUSE BILL 2779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Dent, Eslick, Bergquist, Tharinger, Goodman, Doglio, Pollet, Kloba, Macri, and Santos)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mental health services for children and youth; amending RCW 74.09.495, 71.24.385, 71.24.045, and 28A.630.500; adding new sections to chapter 74.09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children's mental health work group established in chapter 96, Laws of 2016 reported recommendations in December 2016 related to increasing access to adequate, appropriate, and culturally and linguistically relevant mental health services for children and youth. The legislature further finds that legislation implementing many of the recommendations of the children's mental health work group was enacted in 2017. Despite these gains, barriers to service remain and additional work is required to assist children with securing adequate mental health treatment. The legislature further finds that by January 1, 2020, the community behavioral health program must be fully integrated in a managed care health system that provides behavioral and physical health care services to medicaid clients. Therefore, it is the intent of the legislature to reestablish the children's mental health work group through December 2020 and to implement additional recommendations from the work group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three cochairs, two from among its legislative membership and one representative of a state agency. The two legislative cochairs must represent the minority and the majority caucuses in the house of representatives. The representative from the health care authority shall convene the initial meeting of the work group.</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Staff support for the work group must be provided by the house of representatives office of program research, the senate committee services, and the health care authority.</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rPr/>
        <w:t xml:space="preserve">(8) This section expires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2017 c 226 s 6 are each amended to read as follows:</w:t>
      </w:r>
    </w:p>
    <w:p>
      <w:pPr>
        <w:spacing w:before="0" w:after="0" w:line="408" w:lineRule="exact"/>
        <w:ind w:left="0" w:right="0" w:firstLine="576"/>
        <w:jc w:val="left"/>
      </w:pPr>
      <w:r>
        <w:rPr>
          <w:u w:val="single"/>
        </w:rPr>
        <w:t xml:space="preserve">(1)</w:t>
      </w:r>
      <w:r>
        <w:rPr/>
        <w:t xml:space="preserve"> 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 </w:t>
      </w:r>
      <w:r>
        <w:t>((</w:t>
      </w:r>
      <w:r>
        <w:rPr>
          <w:strike/>
        </w:rPr>
        <w:t xml:space="preserve">and</w:t>
      </w:r>
      <w:r>
        <w:t>))</w:t>
      </w:r>
    </w:p>
    <w:p>
      <w:pPr>
        <w:spacing w:before="0" w:after="0" w:line="408" w:lineRule="exact"/>
        <w:ind w:left="0" w:right="0" w:firstLine="576"/>
        <w:jc w:val="left"/>
      </w:pPr>
      <w:r>
        <w:rPr/>
        <w:t xml:space="preserve">(c) The percentage of children served by behavioral health organizations, including the types of services provided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 The report must also include</w:t>
      </w:r>
      <w:r>
        <w:t>))</w:t>
      </w:r>
      <w:r>
        <w:rPr/>
        <w:t xml:space="preserve"> </w:t>
      </w:r>
      <w:r>
        <w:rPr>
          <w:u w:val="single"/>
        </w:rPr>
        <w:t xml:space="preserve">(d) T</w:t>
      </w:r>
      <w:r>
        <w:rPr/>
        <w:t xml:space="preserve">he number of children's mental health providers available in the previous year, the languages spoken by those providers, and the overall percentage of children's mental health providers who were actively accepting new patients</w:t>
      </w:r>
      <w:r>
        <w:rPr>
          <w:u w:val="single"/>
        </w:rPr>
        <w:t xml:space="preserve">; and</w:t>
      </w:r>
    </w:p>
    <w:p>
      <w:pPr>
        <w:spacing w:before="0" w:after="0" w:line="408" w:lineRule="exact"/>
        <w:ind w:left="0" w:right="0" w:firstLine="576"/>
        <w:jc w:val="left"/>
      </w:pPr>
      <w:r>
        <w:rPr>
          <w:u w:val="single"/>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u w:val="single"/>
        </w:rPr>
        <w:t xml:space="preserve">(i) Eating disorder diagnoses;</w:t>
      </w:r>
    </w:p>
    <w:p>
      <w:pPr>
        <w:spacing w:before="0" w:after="0" w:line="408" w:lineRule="exact"/>
        <w:ind w:left="0" w:right="0" w:firstLine="576"/>
        <w:jc w:val="left"/>
      </w:pPr>
      <w:r>
        <w:rPr>
          <w:u w:val="single"/>
        </w:rPr>
        <w:t xml:space="preserve">(ii) Patients treated in outpatient, residential, emergency, and inpatient care settings; and</w:t>
      </w:r>
    </w:p>
    <w:p>
      <w:pPr>
        <w:spacing w:before="0" w:after="0" w:line="408" w:lineRule="exact"/>
        <w:ind w:left="0" w:right="0" w:firstLine="576"/>
        <w:jc w:val="left"/>
      </w:pPr>
      <w:r>
        <w:rPr>
          <w:u w:val="single"/>
        </w:rPr>
        <w:t xml:space="preserve">(iii) Contracted providers specializing in eating disorder treatment and the overall percentage of those providers who were actively accepting new patients during the reporting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collaborate with the department of children, youth, and families to identify opportunities to leverage medicaid funding for home visiting services.</w:t>
      </w:r>
    </w:p>
    <w:p>
      <w:pPr>
        <w:spacing w:before="0" w:after="0" w:line="408" w:lineRule="exact"/>
        <w:ind w:left="0" w:right="0" w:firstLine="576"/>
        <w:jc w:val="left"/>
      </w:pPr>
      <w:r>
        <w:rPr/>
        <w:t xml:space="preserve">(2) The authority must contract with a third party to:</w:t>
      </w:r>
    </w:p>
    <w:p>
      <w:pPr>
        <w:spacing w:before="0" w:after="0" w:line="408" w:lineRule="exact"/>
        <w:ind w:left="0" w:right="0" w:firstLine="576"/>
        <w:jc w:val="left"/>
      </w:pPr>
      <w:r>
        <w:rPr/>
        <w:t xml:space="preserve">(a) Build upon the research and strategies developed in the Washington state home visiting and medicaid financing strategies report submitted by the health care authority to the department of early learning in August 2017; and</w:t>
      </w:r>
    </w:p>
    <w:p>
      <w:pPr>
        <w:spacing w:before="0" w:after="0" w:line="408" w:lineRule="exact"/>
        <w:ind w:left="0" w:right="0" w:firstLine="576"/>
        <w:jc w:val="left"/>
      </w:pPr>
      <w:r>
        <w:rPr/>
        <w:t xml:space="preserve">(b) Provide a set of recommendations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2018, the department of children, youth, and families must:</w:t>
      </w:r>
    </w:p>
    <w:p>
      <w:pPr>
        <w:spacing w:before="0" w:after="0" w:line="408" w:lineRule="exact"/>
        <w:ind w:left="0" w:right="0" w:firstLine="576"/>
        <w:jc w:val="left"/>
      </w:pPr>
      <w:r>
        <w:rPr/>
        <w:t xml:space="preserve">(a)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t xml:space="preserve">(b) Develop a strategy to expand home visiting programs statewide; and</w:t>
      </w:r>
    </w:p>
    <w:p>
      <w:pPr>
        <w:spacing w:before="0" w:after="0" w:line="408" w:lineRule="exact"/>
        <w:ind w:left="0" w:right="0" w:firstLine="576"/>
        <w:jc w:val="left"/>
      </w:pPr>
      <w:r>
        <w:rPr/>
        <w:t xml:space="preserve">(c) Collaborate with the health care authority to maximize medicaid and other federal resources in implementing current home visiting programs and the statewide strategy developed under this section.</w:t>
      </w:r>
    </w:p>
    <w:p>
      <w:pPr>
        <w:spacing w:before="0" w:after="0" w:line="408" w:lineRule="exact"/>
        <w:ind w:left="0" w:right="0" w:firstLine="576"/>
        <w:jc w:val="left"/>
      </w:pPr>
      <w:r>
        <w:rPr/>
        <w:t xml:space="preserve">(2)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r>
        <w:rPr>
          <w:u w:val="single"/>
        </w:rPr>
        <w:t xml:space="preserve">, including family support</w:t>
      </w:r>
      <w:r>
        <w:rPr/>
        <w:t xml:space="preserve">;</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w:t>
      </w:r>
      <w:r>
        <w:rPr>
          <w:u w:val="single"/>
        </w:rPr>
        <w:t xml:space="preserve">(a)</w:t>
      </w:r>
      <w:r>
        <w:rPr/>
        <w:t xml:space="preserve">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w:t>
      </w:r>
      <w:r>
        <w:t>((</w:t>
      </w:r>
      <w:r>
        <w:rPr>
          <w:strike/>
        </w:rPr>
        <w:t xml:space="preserve">and</w:t>
      </w:r>
      <w:r>
        <w:t>))</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r>
        <w:rPr>
          <w:u w:val="single"/>
        </w:rPr>
        <w:t xml:space="preserve">; and</w:t>
      </w:r>
    </w:p>
    <w:p>
      <w:pPr>
        <w:spacing w:before="0" w:after="0" w:line="408" w:lineRule="exact"/>
        <w:ind w:left="0" w:right="0" w:firstLine="576"/>
        <w:jc w:val="left"/>
      </w:pPr>
      <w:r>
        <w:rPr>
          <w:u w:val="single"/>
        </w:rPr>
        <w:t xml:space="preserve">(11) Allow reimbursement for time spent supervising persons working toward satisfying supervision requirements established for the relevant practice areas pursuant to RCW 18.225.090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adoption of a fully integrated managed health care system pursuant to chapter 71.24 RCW, regional service areas:</w:t>
      </w:r>
    </w:p>
    <w:p>
      <w:pPr>
        <w:spacing w:before="0" w:after="0" w:line="408" w:lineRule="exact"/>
        <w:ind w:left="0" w:right="0" w:firstLine="576"/>
        <w:jc w:val="left"/>
      </w:pPr>
      <w:r>
        <w:rPr/>
        <w:t xml:space="preserve">(1) Must allow reimbursement for time spent supervising persons working toward satisfying supervision requirements established for the relevant practice areas pursuant to RCW 18.225.090; and</w:t>
      </w:r>
    </w:p>
    <w:p>
      <w:pPr>
        <w:spacing w:before="0" w:after="0" w:line="408" w:lineRule="exact"/>
        <w:ind w:left="0" w:right="0" w:firstLine="576"/>
        <w:jc w:val="left"/>
      </w:pPr>
      <w:r>
        <w:rPr/>
        <w:t xml:space="preserve">(2) may allow reimbursement for services delivered through a partial hospitalization or intensive outpatient program as described in RCW 71.24.385.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an advisory group of stakeholders to review the parent-initiated treatment process authorized by chapter 71.34 RCW. The advisory group must develop recommendations regarding:</w:t>
      </w:r>
    </w:p>
    <w:p>
      <w:pPr>
        <w:spacing w:before="0" w:after="0" w:line="408" w:lineRule="exact"/>
        <w:ind w:left="0" w:right="0" w:firstLine="576"/>
        <w:jc w:val="left"/>
      </w:pPr>
      <w:r>
        <w:rPr/>
        <w:t xml:space="preserve">(a) The age of consent for the behavioral health treatment of a minor;</w:t>
      </w:r>
    </w:p>
    <w:p>
      <w:pPr>
        <w:spacing w:before="0" w:after="0" w:line="408" w:lineRule="exact"/>
        <w:ind w:left="0" w:right="0" w:firstLine="576"/>
        <w:jc w:val="left"/>
      </w:pPr>
      <w:r>
        <w:rPr/>
        <w:t xml:space="preserve">(b) Options for parental involvement in youth treatment decisions;</w:t>
      </w:r>
    </w:p>
    <w:p>
      <w:pPr>
        <w:spacing w:before="0" w:after="0" w:line="408" w:lineRule="exact"/>
        <w:ind w:left="0" w:right="0" w:firstLine="576"/>
        <w:jc w:val="left"/>
      </w:pPr>
      <w:r>
        <w:rPr/>
        <w:t xml:space="preserve">(c) Information communicated to families and providers about the parent-initiated treatment process; and</w:t>
      </w:r>
    </w:p>
    <w:p>
      <w:pPr>
        <w:spacing w:before="0" w:after="0" w:line="408" w:lineRule="exact"/>
        <w:ind w:left="0" w:right="0" w:firstLine="576"/>
        <w:jc w:val="left"/>
      </w:pPr>
      <w:r>
        <w:rPr/>
        <w:t xml:space="preserve">(d) The definition of medical necessity for emergency mental health services and options for parental involvement in those determinations.</w:t>
      </w:r>
    </w:p>
    <w:p>
      <w:pPr>
        <w:spacing w:before="0" w:after="0" w:line="408" w:lineRule="exact"/>
        <w:ind w:left="0" w:right="0" w:firstLine="576"/>
        <w:jc w:val="left"/>
      </w:pPr>
      <w:r>
        <w:rPr/>
        <w:t xml:space="preserve">(2) The advisory group established in this section must review the effectiveness of serving commercially sexually exploited children using parent-initiated treatment, involuntary treatment, or other treatment services delivered pursuant to chapter 71.34 RCW.</w:t>
      </w:r>
    </w:p>
    <w:p>
      <w:pPr>
        <w:spacing w:before="0" w:after="0" w:line="408" w:lineRule="exact"/>
        <w:ind w:left="0" w:right="0" w:firstLine="576"/>
        <w:jc w:val="left"/>
      </w:pPr>
      <w:r>
        <w:rPr/>
        <w:t xml:space="preserve">(3) By December 1, 2018, the department of social and health services must report the findings and recommendations of the advisory group to the children's mental health work group established in section 2 of this act.</w:t>
      </w:r>
    </w:p>
    <w:p>
      <w:pPr>
        <w:spacing w:before="0" w:after="0" w:line="408" w:lineRule="exact"/>
        <w:ind w:left="0" w:right="0" w:firstLine="576"/>
        <w:jc w:val="left"/>
      </w:pPr>
      <w:r>
        <w:rPr/>
        <w:t xml:space="preserve">(4)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500</w:t>
      </w:r>
      <w:r>
        <w:rPr/>
        <w:t xml:space="preserve"> and 2017 c 202 s 6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w:t>
      </w:r>
      <w:r>
        <w:t>((</w:t>
      </w:r>
      <w:r>
        <w:rPr>
          <w:strike/>
        </w:rPr>
        <w:t xml:space="preserve">and</w:t>
      </w:r>
      <w:r>
        <w:t>))</w:t>
      </w:r>
    </w:p>
    <w:p>
      <w:pPr>
        <w:spacing w:before="0" w:after="0" w:line="408" w:lineRule="exact"/>
        <w:ind w:left="0" w:right="0" w:firstLine="576"/>
        <w:jc w:val="left"/>
      </w:pPr>
      <w:r>
        <w:rPr/>
        <w:t xml:space="preserve">(f) Collaborating with the other selected project and with the office of the superintendent of public instruction</w:t>
      </w:r>
      <w:r>
        <w:rPr>
          <w:u w:val="single"/>
        </w:rPr>
        <w:t xml:space="preserve">; and</w:t>
      </w:r>
    </w:p>
    <w:p>
      <w:pPr>
        <w:spacing w:before="0" w:after="0" w:line="408" w:lineRule="exact"/>
        <w:ind w:left="0" w:right="0" w:firstLine="576"/>
        <w:jc w:val="left"/>
      </w:pPr>
      <w:r>
        <w:rPr>
          <w:u w:val="single"/>
        </w:rPr>
        <w:t xml:space="preserve">(g) Delivering a mental health literacy curriculum, mental health literacy curriculum resource, or comprehensive instruction to students in one high school in each pilot site that:</w:t>
      </w:r>
    </w:p>
    <w:p>
      <w:pPr>
        <w:spacing w:before="0" w:after="0" w:line="408" w:lineRule="exact"/>
        <w:ind w:left="0" w:right="0" w:firstLine="576"/>
        <w:jc w:val="left"/>
      </w:pPr>
      <w:r>
        <w:rPr>
          <w:u w:val="single"/>
        </w:rPr>
        <w:t xml:space="preserve">(i) Improves mental health literacy in students;</w:t>
      </w:r>
    </w:p>
    <w:p>
      <w:pPr>
        <w:spacing w:before="0" w:after="0" w:line="408" w:lineRule="exact"/>
        <w:ind w:left="0" w:right="0" w:firstLine="576"/>
        <w:jc w:val="left"/>
      </w:pPr>
      <w:r>
        <w:rPr>
          <w:u w:val="single"/>
        </w:rPr>
        <w:t xml:space="preserve">(ii) Is designed to support teachers; and</w:t>
      </w:r>
    </w:p>
    <w:p>
      <w:pPr>
        <w:spacing w:before="0" w:after="0" w:line="408" w:lineRule="exact"/>
        <w:ind w:left="0" w:right="0" w:firstLine="576"/>
        <w:jc w:val="left"/>
      </w:pPr>
      <w:r>
        <w:rPr>
          <w:u w:val="single"/>
        </w:rPr>
        <w:t xml:space="preserve">(iii) Aligns with the state health and physical education K-12 learning standards as they existed on January 1, 2018</w:t>
      </w:r>
      <w:r>
        <w:rPr/>
        <w:t xml:space="preserve">.</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
      <w:pPr>
        <w:jc w:val="center"/>
      </w:pPr>
      <w:r>
        <w:rPr>
          <w:b/>
        </w:rPr>
        <w:t>--- END ---</w:t>
      </w:r>
    </w:p>
    <w:sectPr>
      <w:pgNumType w:start="1"/>
      <w:footerReference xmlns:r="http://schemas.openxmlformats.org/officeDocument/2006/relationships" r:id="R74686fe4c03c46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5efead5ee44221" /><Relationship Type="http://schemas.openxmlformats.org/officeDocument/2006/relationships/footer" Target="/word/footer.xml" Id="R74686fe4c03c4657" /></Relationships>
</file>