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7e678d1a14b8b" /></Relationships>
</file>

<file path=word/document.xml><?xml version="1.0" encoding="utf-8"?>
<w:document xmlns:w="http://schemas.openxmlformats.org/wordprocessingml/2006/main">
  <w:body>
    <w:p>
      <w:r>
        <w:t>H-3730.1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2815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Griffey, Reeves, Eslick, Steele, and Young</w:t>
      </w:r>
    </w:p>
    <w:p/>
    <w:p>
      <w:r>
        <w:rPr>
          <w:t xml:space="preserve">Read first time 01/17/18.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career and technical education in alternative learning experience programs; and amending RCW 28A.232.020.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232</w:t>
      </w:r>
      <w:r>
        <w:rPr/>
        <w:t xml:space="preserve">.</w:t>
      </w:r>
      <w:r>
        <w:t xml:space="preserve">020</w:t>
      </w:r>
      <w:r>
        <w:rPr/>
        <w:t xml:space="preserve"> and 2013 2nd sp.s. c 18 s 503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The superintendent of public instruction shall separately calculate and allocate moneys appropriated under RCW 28A.150.260 to school districts for each full-time equivalent student enrolled in an alternative learning experience course. The calculation shall be based on the estimated statewide annual average allocation per full-time equivalent student in grades nine through twelve in general education, excluding small high school enhancements, and including applicable rules and provisions of the omnibus appropriations act.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In addition to the allocation provided under subsection (1) of this section, if the course is a vocational alternative learning experience course then the allocated state funding shall also include vocational program funding enhancements.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838b608ab12461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2815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fcdaa6a9c4615" /><Relationship Type="http://schemas.openxmlformats.org/officeDocument/2006/relationships/footer" Target="/word/footer.xml" Id="R4838b608ab124615" /></Relationships>
</file>