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fbcb1bc034211" /></Relationships>
</file>

<file path=word/document.xml><?xml version="1.0" encoding="utf-8"?>
<w:document xmlns:w="http://schemas.openxmlformats.org/wordprocessingml/2006/main">
  <w:body>
    <w:p>
      <w:r>
        <w:t>H-3541.3</w:t>
      </w:r>
    </w:p>
    <w:p>
      <w:pPr>
        <w:jc w:val="center"/>
      </w:pPr>
      <w:r>
        <w:t>_______________________________________________</w:t>
      </w:r>
    </w:p>
    <w:p/>
    <w:p>
      <w:pPr>
        <w:jc w:val="center"/>
      </w:pPr>
      <w:r>
        <w:rPr>
          <w:b/>
        </w:rPr>
        <w:t>HOUSE BILL 2839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Slatter, Doglio, and Fitzgibbon</w:t>
      </w:r>
    </w:p>
    <w:p/>
    <w:p>
      <w:r>
        <w:rPr>
          <w:t xml:space="preserve">Read first time 01/17/18.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reliable, and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utility and transportation commission's statutory grant of authority for telecommunications customers a decade ago serves as a reasonable model. The legislature intends that the utility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maintain and enhance overall electrical or natural gas system reliability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undue risk; ensure an appropriate level of consumer protection; and support the achievement of state emissions reduction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"Carbon planning adder" means a calculation of the economic impacts associated with an incremental increase in carbon dioxide emissions in a calendar year and must be an amount equal to the greater of: (a) The minimum annual carbon planning adder for such a calendar year; or (b) the applicable carbon tax rate, if any, as expressed in dollars per metric ton of carbon dioxide for such a calendar year.</w:t>
      </w:r>
    </w:p>
    <w:p>
      <w:pPr>
        <w:spacing w:before="0" w:after="0" w:line="408" w:lineRule="exact"/>
        <w:ind w:left="0" w:right="0" w:firstLine="576"/>
        <w:jc w:val="left"/>
      </w:pPr>
      <w:r>
        <w:rPr>
          <w:u w:val="single"/>
        </w:rPr>
        <w:t xml:space="preserve">(6) "Minimum annual carbon planning adder" means, for calendar year 2018, forty dollars per metric ton of carbon dioxide, which amount must be increased each January 1st by one and one-quarter percent, rounded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w:t>
      </w:r>
      <w:r>
        <w:rPr>
          <w:u w:val="single"/>
        </w:rPr>
        <w:t xml:space="preserve">companies</w:t>
      </w:r>
      <w:r>
        <w:rPr>
          <w:u w:val="single"/>
        </w:rPr>
        <w:t xml:space="preserve">, gas companies, and the commission shall use the carbon planning adder when evaluating and selecting conservation policies, programs, and targets.</w:t>
      </w:r>
    </w:p>
    <w:p>
      <w:pPr>
        <w:spacing w:before="0" w:after="0" w:line="408" w:lineRule="exact"/>
        <w:ind w:left="0" w:right="0" w:firstLine="576"/>
        <w:jc w:val="left"/>
      </w:pPr>
      <w:r>
        <w:rPr>
          <w:u w:val="single"/>
        </w:rPr>
        <w:t xml:space="preserve">(b) Electrical </w:t>
      </w:r>
      <w:r>
        <w:rPr>
          <w:u w:val="single"/>
        </w:rPr>
        <w:t xml:space="preserve">companies </w:t>
      </w:r>
      <w:r>
        <w:rPr>
          <w:u w:val="single"/>
        </w:rPr>
        <w:t xml:space="preserve">shall use the carbon planning adder in: (i) Developing and evaluating integrated resource plans pursuant to chapter 19.280 RCW; and (ii) evaluating and selecting long-term resource options.</w:t>
      </w:r>
    </w:p>
    <w:p>
      <w:pPr>
        <w:spacing w:before="0" w:after="0" w:line="408" w:lineRule="exact"/>
        <w:ind w:left="0" w:right="0" w:firstLine="576"/>
        <w:jc w:val="left"/>
      </w:pPr>
      <w:r>
        <w:rPr>
          <w:u w:val="single"/>
        </w:rPr>
        <w:t xml:space="preserve">(c) For the purposes of this subsection, gas consisting largely of methane and other hydrocarbons derived from the decomposition of organic material in landfills, wastewater treatment facilities, and anaerobic digesters must be considered a nonemitting resource.</w:t>
      </w:r>
    </w:p>
    <w:p>
      <w:pPr>
        <w:spacing w:before="0" w:after="0" w:line="408" w:lineRule="exact"/>
        <w:ind w:left="0" w:right="0" w:firstLine="576"/>
        <w:jc w:val="left"/>
      </w:pPr>
      <w:r>
        <w:rPr>
          <w:u w:val="single"/>
        </w:rPr>
        <w:t xml:space="preserve">(d) For the purposes of this subsection, "long-term resource options" means:</w:t>
      </w:r>
    </w:p>
    <w:p>
      <w:pPr>
        <w:spacing w:before="0" w:after="0" w:line="408" w:lineRule="exact"/>
        <w:ind w:left="0" w:right="0" w:firstLine="576"/>
        <w:jc w:val="left"/>
      </w:pPr>
      <w:r>
        <w:rPr>
          <w:u w:val="single"/>
        </w:rPr>
        <w:t xml:space="preserve">(i) Either a new ownership interest in electric plant or an upgrade to an existing electric plant; or</w:t>
      </w:r>
    </w:p>
    <w:p>
      <w:pPr>
        <w:spacing w:before="0" w:after="0" w:line="408" w:lineRule="exact"/>
        <w:ind w:left="0" w:right="0" w:firstLine="576"/>
        <w:jc w:val="left"/>
      </w:pPr>
      <w:r>
        <w:rPr>
          <w:u w:val="single"/>
        </w:rPr>
        <w:t xml:space="preserve">(ii) A new or renewed contract for electricity with a term of five or more years for the provision of power to retail end-use customers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utility service to its customers; or (B) the quantity of electricity or gas sold to its customers;</w:t>
      </w:r>
    </w:p>
    <w:p>
      <w:pPr>
        <w:spacing w:before="0" w:after="0" w:line="408" w:lineRule="exact"/>
        <w:ind w:left="0" w:right="0" w:firstLine="576"/>
        <w:jc w:val="left"/>
      </w:pPr>
      <w:r>
        <w:rPr/>
        <w:t xml:space="preserve">(vii) Protect customers, especially low-income customers, from undue risk;</w:t>
      </w:r>
    </w:p>
    <w:p>
      <w:pPr>
        <w:spacing w:before="0" w:after="0" w:line="408" w:lineRule="exact"/>
        <w:ind w:left="0" w:right="0" w:firstLine="576"/>
        <w:jc w:val="left"/>
      </w:pPr>
      <w:r>
        <w:rPr/>
        <w:t xml:space="preserve">(viii) Ensure an appropriate level of consumer protection; and</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plan must also contain a proposal for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
      <w:pPr>
        <w:jc w:val="center"/>
      </w:pPr>
      <w:r>
        <w:rPr>
          <w:b/>
        </w:rPr>
        <w:t>--- END ---</w:t>
      </w:r>
    </w:p>
    <w:sectPr>
      <w:pgNumType w:start="1"/>
      <w:footerReference xmlns:r="http://schemas.openxmlformats.org/officeDocument/2006/relationships" r:id="Rbdece85361a3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72d8423ed4a93" /><Relationship Type="http://schemas.openxmlformats.org/officeDocument/2006/relationships/footer" Target="/word/footer.xml" Id="Rbdece85361a342f5" /></Relationships>
</file>