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e44fa0b66413c" /></Relationships>
</file>

<file path=word/document.xml><?xml version="1.0" encoding="utf-8"?>
<w:document xmlns:w="http://schemas.openxmlformats.org/wordprocessingml/2006/main">
  <w:body>
    <w:p>
      <w:r>
        <w:t>H-3256.1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Shea, Young, Hayes, Irwin, and McCaslin</w:t>
      </w:r>
    </w:p>
    <w:p/>
    <w:p>
      <w:r>
        <w:rPr>
          <w:t xml:space="preserve">Read first time 01/19/18.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crime of endangerment with a controlled substance; amending RCW 9A.42.100;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42</w:t>
      </w:r>
      <w:r>
        <w:rPr/>
        <w:t xml:space="preserve">.</w:t>
      </w:r>
      <w:r>
        <w:t xml:space="preserve">100</w:t>
      </w:r>
      <w:r>
        <w:rPr/>
        <w:t xml:space="preserve"> and 2005 c 218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person is guilty of the crime of endangerment with a controlled substance if the person knowingly or intentionally permits a dependent child or dependent adult to be exposed to, ingest, inhale, or have contact with </w:t>
      </w:r>
      <w:r>
        <w:t>((</w:t>
      </w:r>
      <w:r>
        <w:rPr>
          <w:strike/>
        </w:rPr>
        <w:t xml:space="preserve">methamphetamine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Any controlled substance listed in Schedule I under RCW 69.50.204 or in Schedule II under RCW 69.50.206, unless the exposure, ingestion, inhalation, or contact is in accordance with a valid prescription or order;</w:t>
      </w:r>
      <w:r>
        <w:rPr/>
        <w:t xml:space="preserve">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E</w:t>
      </w:r>
      <w:r>
        <w:rPr/>
        <w:t xml:space="preserve">phedrine, pseudoephedrine, or anhydrous ammonia, including their salts, isomers, and salts of isomers, that are being used in the manufacture of methamphetamine, including its salts, isomers, and salts of isomers.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Endangerment with a controlled substance is a class B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1f2765e1b847e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216a5037f448c" /><Relationship Type="http://schemas.openxmlformats.org/officeDocument/2006/relationships/footer" Target="/word/footer.xml" Id="R921f2765e1b847e1" /></Relationships>
</file>