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4772201304aa9" /></Relationships>
</file>

<file path=word/document.xml><?xml version="1.0" encoding="utf-8"?>
<w:document xmlns:w="http://schemas.openxmlformats.org/wordprocessingml/2006/main">
  <w:body>
    <w:p>
      <w:r>
        <w:t>H-4306.1</w:t>
      </w:r>
    </w:p>
    <w:p>
      <w:pPr>
        <w:jc w:val="center"/>
      </w:pPr>
      <w:r>
        <w:t>_______________________________________________</w:t>
      </w:r>
    </w:p>
    <w:p/>
    <w:p>
      <w:pPr>
        <w:jc w:val="center"/>
      </w:pPr>
      <w:r>
        <w:rPr>
          <w:b/>
        </w:rPr>
        <w:t>HOUSE BILL 2956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Blake</w:t>
      </w:r>
    </w:p>
    <w:p/>
    <w:p>
      <w:r>
        <w:rPr>
          <w:t xml:space="preserve">Read first time 01/30/18.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Washington waters from negative impacts of nonnative finfish by requiring nonnative finfish cultivated in Washington to be single-sex; amending RCW 77.12.047, 77.125.030, and 90.48.220; adding a new section to chapter 79.105 RCW; adding a new section to chapter 77.125 RCW; and adding a new section to chapter 90.48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The department may enter into a new aquatic land lease for the purpose of Atlantic salmon or nonnative finfish aquaculture only if such a lease is for the culture of exclusively single-sex Atlantic salmon or other single-sex nonnative marine finfish.</w:t>
      </w:r>
    </w:p>
    <w:p>
      <w:pPr>
        <w:spacing w:before="0" w:after="0" w:line="408" w:lineRule="exact"/>
        <w:ind w:left="0" w:right="0" w:firstLine="576"/>
        <w:jc w:val="left"/>
      </w:pPr>
      <w:r>
        <w:rPr/>
        <w:t xml:space="preserve">(2) The department may renew or extend a lease in existence on the effective date of this section for the culture of Atlantic salmon or other nonnative finfish only if such an extension or renewal is for the culture of exclusively single-sex Atlantic salmon or other single-sex nonnative marine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permit Atlantic salmon or other nonnative marine finfish aquaculture after the expiration date of the relevant state-owned aquatic lands lease in effect on the effective date of this section only if the permits are for activities or operations related to marine aquaculture of single-sex Atlantic salmon or other single-sex nonnative finfish.</w:t>
      </w:r>
    </w:p>
    <w:p>
      <w:pPr>
        <w:spacing w:before="0" w:after="0" w:line="408" w:lineRule="exact"/>
        <w:ind w:left="0" w:right="0" w:firstLine="576"/>
        <w:jc w:val="left"/>
      </w:pPr>
      <w:r>
        <w:rPr/>
        <w:t xml:space="preserve">(2) The department may permit the transport of Atlantic salmon or other nonnative finfish after the expiration date of the relevant state-owned aquatic lands lease in effect on the effective date of this section only for the transport of single-sex Atlantic salmon or other nonnative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department may not permit any activities or operations for the marine aquaculture of Atlantic salmon or other nonnative finfish after the expiration date of the relevant state-owned aquatic lands lease in effect on the effective date of this section, unless the permits are for activities or operations for the marine aquaculture of single-sex Atlantic salmon or other single-sex nonnative finfish.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This authority must be exercised consistent with section 2 of this act.</w:t>
      </w:r>
      <w:r>
        <w:rPr/>
        <w:t xml:space="preserve"> 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(2)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p>
    <w:p/>
    <w:p>
      <w:pPr>
        <w:jc w:val="center"/>
      </w:pPr>
      <w:r>
        <w:rPr>
          <w:b/>
        </w:rPr>
        <w:t>--- END ---</w:t>
      </w:r>
    </w:p>
    <w:sectPr>
      <w:pgNumType w:start="1"/>
      <w:footerReference xmlns:r="http://schemas.openxmlformats.org/officeDocument/2006/relationships" r:id="R1cf38c6825ce44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f90b86712408a" /><Relationship Type="http://schemas.openxmlformats.org/officeDocument/2006/relationships/footer" Target="/word/footer.xml" Id="R1cf38c6825ce443e" /></Relationships>
</file>