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6baef6d1834a28" /></Relationships>
</file>

<file path=word/document.xml><?xml version="1.0" encoding="utf-8"?>
<w:document xmlns:w="http://schemas.openxmlformats.org/wordprocessingml/2006/main">
  <w:body>
    <w:p>
      <w:r>
        <w:t>H-4487.2</w:t>
      </w:r>
    </w:p>
    <w:p>
      <w:pPr>
        <w:jc w:val="center"/>
      </w:pPr>
      <w:r>
        <w:t>_______________________________________________</w:t>
      </w:r>
    </w:p>
    <w:p/>
    <w:p>
      <w:pPr>
        <w:jc w:val="center"/>
      </w:pPr>
      <w:r>
        <w:rPr>
          <w:b/>
        </w:rPr>
        <w:t>SUBSTITUTE HOUSE BILL 2957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Lytton, Peterson, Robinson, Wilcox, Taylor, Stambaugh, Sawyer, Chapman, Pollet, and Stanford)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escape of nonnative finfish from marine finfish aquaculture facilities; adding a new section to chapter 77.125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departments of ecology, natural resources, and fish and wildlife must continue the existing effort to update guidance and informational resources to industry and governments for planning and permitting commercial marine net pen aquaculture.</w:t>
      </w:r>
    </w:p>
    <w:p>
      <w:pPr>
        <w:spacing w:before="0" w:after="0" w:line="408" w:lineRule="exact"/>
        <w:ind w:left="0" w:right="0" w:firstLine="576"/>
        <w:jc w:val="left"/>
      </w:pPr>
      <w:r>
        <w:rPr/>
        <w:t xml:space="preserve">(2) The effort must utilize new scientific information that has emerged since the current state guidance that dates from the late 1980s through 1990, and address topics including local shoreline permitting, water quality, impacts on native fish, shellfish, and wildlife, and interagency coordination in permitting, inspections, and enforcement. The guidance must be designed to eliminate commercial marine net pen escapement and negative impacts to water quality and native fish, shellfish, and wildlife.</w:t>
      </w:r>
    </w:p>
    <w:p>
      <w:pPr>
        <w:spacing w:before="0" w:after="0" w:line="408" w:lineRule="exact"/>
        <w:ind w:left="0" w:right="0" w:firstLine="576"/>
        <w:jc w:val="left"/>
      </w:pPr>
      <w:r>
        <w:rPr/>
        <w:t xml:space="preserve">(3) The guidance and resources must be completed by December 31, 2018.</w:t>
      </w:r>
    </w:p>
    <w:p>
      <w:pPr>
        <w:spacing w:before="0" w:after="0" w:line="408" w:lineRule="exact"/>
        <w:ind w:left="0" w:right="0" w:firstLine="576"/>
        <w:jc w:val="left"/>
      </w:pPr>
      <w:r>
        <w:rPr/>
        <w:t xml:space="preserve">(4) This section expires December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For marine finfish aquaculture of Atlantic salmon, the facility operator must hire, at their own expense, a marine engineering firm approved by the department to conduct inspections. Inspections must occur approximately every two years, when net pens are fallow, and must include topside and mooring assessments related to escapement potential, structural integrity, permit compliance, and operations.</w:t>
      </w:r>
    </w:p>
    <w:p>
      <w:pPr>
        <w:spacing w:before="0" w:after="0" w:line="408" w:lineRule="exact"/>
        <w:ind w:left="0" w:right="0" w:firstLine="576"/>
        <w:jc w:val="left"/>
      </w:pPr>
      <w:r>
        <w:rPr/>
        <w:t xml:space="preserve">(2) Any net pen facility must be found to be in good working order to receive fish.</w:t>
      </w:r>
    </w:p>
    <w:p>
      <w:pPr>
        <w:spacing w:before="0" w:after="0" w:line="408" w:lineRule="exact"/>
        <w:ind w:left="0" w:right="0" w:firstLine="576"/>
        <w:jc w:val="left"/>
      </w:pPr>
      <w:r>
        <w:rPr/>
        <w:t xml:space="preserve">(3) If the facility is found to be in imminent danger of collapse or release of Atlantic salmon, the director may require the operator to remove fish or deny a fish transfer permit.</w:t>
      </w:r>
    </w:p>
    <w:p/>
    <w:p>
      <w:pPr>
        <w:jc w:val="center"/>
      </w:pPr>
      <w:r>
        <w:rPr>
          <w:b/>
        </w:rPr>
        <w:t>--- END ---</w:t>
      </w:r>
    </w:p>
    <w:sectPr>
      <w:pgNumType w:start="1"/>
      <w:footerReference xmlns:r="http://schemas.openxmlformats.org/officeDocument/2006/relationships" r:id="R9c5593e4742a45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6e3a3189264549" /><Relationship Type="http://schemas.openxmlformats.org/officeDocument/2006/relationships/footer" Target="/word/footer.xml" Id="R9c5593e4742a45c1" /></Relationships>
</file>