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ea0a0295f42cf" /></Relationships>
</file>

<file path=word/document.xml><?xml version="1.0" encoding="utf-8"?>
<w:document xmlns:w="http://schemas.openxmlformats.org/wordprocessingml/2006/main">
  <w:body>
    <w:p>
      <w:r>
        <w:t>H-4860.1</w:t>
      </w:r>
    </w:p>
    <w:p>
      <w:pPr>
        <w:jc w:val="center"/>
      </w:pPr>
      <w:r>
        <w:t>_______________________________________________</w:t>
      </w:r>
    </w:p>
    <w:p/>
    <w:p>
      <w:pPr>
        <w:jc w:val="center"/>
      </w:pPr>
      <w:r>
        <w:rPr>
          <w:b/>
        </w:rPr>
        <w:t>HOUSE BILL 2993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Lytton, Ortiz-Self, and Pollet</w:t>
      </w:r>
    </w:p>
    <w:p/>
    <w:p>
      <w:r>
        <w:rPr>
          <w:t xml:space="preserve">Read first time 02/20/18.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nine hundred ninety-five million eight hundred two thousand dollars from the budget stabilization account to the state general fund to offset the revenue impact of reducing the combined rate for state property tax levies to 2.365 dollars per thousand dollars of assessed value for taxes levied for collection in calendar year 2019 and to two dollars and thirty cents per thousand dollars of assessed value for taxes levied for collection in calendar year 2020; and amending RCW 84.52.065 and 43.79.496.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w:t>
      </w:r>
      <w:r>
        <w:t>((</w:t>
      </w:r>
      <w:r>
        <w:rPr>
          <w:strike/>
        </w:rPr>
        <w:t xml:space="preserve">upon the assessed valuation of all taxable property within the state adjusted to the state equalized value in accordance with the indicated ratio fixed by the state department of revenue</w:t>
      </w:r>
      <w:r>
        <w:t>))</w:t>
      </w:r>
      <w:r>
        <w:rPr/>
        <w:t xml:space="preserve">.</w:t>
      </w:r>
    </w:p>
    <w:p>
      <w:pPr>
        <w:spacing w:before="0" w:after="0" w:line="408" w:lineRule="exact"/>
        <w:ind w:left="0" w:right="0" w:firstLine="576"/>
        <w:jc w:val="left"/>
      </w:pPr>
      <w:r>
        <w:rPr>
          <w:u w:val="single"/>
        </w:rPr>
        <w:t xml:space="preserve">(b) For property taxes levied for collection in calendar year 2019, the rate of tax is the rate necessary to bring the aggregate rate for state property tax levies levied under this subsection and subsection (2) of this section to a combined rate of 2.365 dollars per thousand dollars of assessed value.</w:t>
      </w:r>
    </w:p>
    <w:p>
      <w:pPr>
        <w:spacing w:before="0" w:after="0" w:line="408" w:lineRule="exact"/>
        <w:ind w:left="0" w:right="0" w:firstLine="576"/>
        <w:jc w:val="left"/>
      </w:pPr>
      <w:r>
        <w:rPr>
          <w:u w:val="single"/>
        </w:rPr>
        <w:t xml:space="preserve">(c) For property taxes levied for collection in calendar year 2020, the rate of tax is the rate necessary to bring the aggregate rate for state property tax levies levied under this subsection and subsection (2) of this section to a combined rate of two dollars and thirty cents per thousand dollars of assessed value.</w:t>
      </w:r>
    </w:p>
    <w:p>
      <w:pPr>
        <w:spacing w:before="0" w:after="0" w:line="408" w:lineRule="exact"/>
        <w:ind w:left="0" w:right="0" w:firstLine="576"/>
        <w:jc w:val="left"/>
      </w:pPr>
      <w:r>
        <w:rPr>
          <w:u w:val="single"/>
        </w:rPr>
        <w:t xml:space="preserve">(d) For property taxes levied for collection in calendar year 2021, the rate of tax levied under this subsection is the actual rate that was levied for collection in calendar year 2018 under this subsection.</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w:t>
      </w:r>
      <w:r>
        <w:rPr>
          <w:u w:val="single"/>
        </w:rPr>
        <w:t xml:space="preserve">For taxes levied for collection in calendar years 2019 and 2020, the rate of tax levied under this subsection is the actual rate that was levied for collection in calendar year 2018 under this subsection.</w:t>
      </w:r>
    </w:p>
    <w:p>
      <w:pPr>
        <w:spacing w:before="0" w:after="0" w:line="408" w:lineRule="exact"/>
        <w:ind w:left="0" w:right="0" w:firstLine="576"/>
        <w:jc w:val="left"/>
      </w:pPr>
      <w:r>
        <w:rPr>
          <w:u w:val="single"/>
        </w:rPr>
        <w:t xml:space="preserve">(ii)</w:t>
      </w:r>
      <w:r>
        <w:rPr/>
        <w:t xml:space="preserve"> For taxes levied for collection in calendar </w:t>
      </w:r>
      <w:r>
        <w:t>((</w:t>
      </w:r>
      <w:r>
        <w:rPr>
          <w:strike/>
        </w:rPr>
        <w:t xml:space="preserve">years 2018 through</w:t>
      </w:r>
      <w:r>
        <w:t>))</w:t>
      </w:r>
      <w:r>
        <w:rPr/>
        <w:t xml:space="preserve"> </w:t>
      </w:r>
      <w:r>
        <w:rPr>
          <w:u w:val="single"/>
        </w:rPr>
        <w:t xml:space="preserve">year</w:t>
      </w:r>
      <w:r>
        <w:rPr/>
        <w:t xml:space="preserve"> 2021, the rate of tax is the rate necessary to bring the aggregate rate for state property tax levies levied under this subsection and subsection (1) of this section to a combined rate of two dollars and seventy cents per thousand dollars of assessed value </w:t>
      </w:r>
      <w:r>
        <w:t>((</w:t>
      </w:r>
      <w:r>
        <w:rPr>
          <w:strike/>
        </w:rPr>
        <w:t xml:space="preserve">upon the assessed valuation of all taxable property within the state adjusted to the state equalized value in accordance with the indicated ratio fixed by the state department of revenue</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w:t>
      </w:r>
      <w:r>
        <w:t>((</w:t>
      </w:r>
      <w:r>
        <w:rPr>
          <w:strike/>
        </w:rPr>
        <w:t xml:space="preserve">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strike/>
        </w:rPr>
        <w:t xml:space="preserve">(5) For property taxes levied for collection in calendar years 2019 through 2021, the rate of tax levied under subsection (1) of this section is the actual rate that was levied for collection in calendar year 2018 under subsection (1) of this section</w:t>
      </w:r>
      <w:r>
        <w:t>))</w:t>
      </w:r>
      <w:r>
        <w:rPr/>
        <w:t xml:space="preserve">.</w:t>
      </w:r>
    </w:p>
    <w:p>
      <w:pPr>
        <w:spacing w:before="0" w:after="0" w:line="408" w:lineRule="exact"/>
        <w:ind w:left="0" w:right="0" w:firstLine="576"/>
        <w:jc w:val="left"/>
      </w:pPr>
      <w:r>
        <w:rPr>
          <w:u w:val="single"/>
        </w:rPr>
        <w:t xml:space="preserve">(5) The state property tax levy rates provided in this section are based upon the assessed valuation of all taxable property within the state adjusted to the state equalized value in accordance with the indicated ratio fixed by the department.</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2017 3rd sp.s. c 29 s 5 are each amended to read as follows:</w:t>
      </w:r>
    </w:p>
    <w:p>
      <w:pPr>
        <w:spacing w:before="0" w:after="0" w:line="408" w:lineRule="exact"/>
        <w:ind w:left="0" w:right="0" w:firstLine="576"/>
        <w:jc w:val="left"/>
      </w:pPr>
      <w:r>
        <w:rPr/>
        <w:t xml:space="preserve">(1) By June 30, 2015, the treasurer </w:t>
      </w:r>
      <w:r>
        <w:t>((</w:t>
      </w:r>
      <w:r>
        <w:rPr>
          <w:strike/>
        </w:rPr>
        <w:t xml:space="preserve">shall</w:t>
      </w:r>
      <w:r>
        <w:t>))</w:t>
      </w:r>
      <w:r>
        <w:rPr/>
        <w:t xml:space="preserve"> </w:t>
      </w:r>
      <w:r>
        <w:rPr>
          <w:u w:val="single"/>
        </w:rPr>
        <w:t xml:space="preserve">must</w:t>
      </w:r>
      <w:r>
        <w:rPr/>
        <w:t xml:space="preserve">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2017-2019 fiscal biennium, the treasurer </w:t>
      </w:r>
      <w:r>
        <w:t>((</w:t>
      </w:r>
      <w:r>
        <w:rPr>
          <w:strike/>
        </w:rPr>
        <w:t xml:space="preserve">shall</w:t>
      </w:r>
      <w:r>
        <w:t>))</w:t>
      </w:r>
      <w:r>
        <w:rPr/>
        <w:t xml:space="preserve"> </w:t>
      </w:r>
      <w:r>
        <w:rPr>
          <w:u w:val="single"/>
        </w:rPr>
        <w:t xml:space="preserve">must</w:t>
      </w:r>
      <w:r>
        <w:rPr/>
        <w:t xml:space="preserve"> transfer into the state general fund the entire budget stabilization account deposit for the 2017-2019 fiscal biennium that is attributable to extraordinary revenue growth, not to exceed one billion seventy-eight million dollars.</w:t>
      </w:r>
    </w:p>
    <w:p>
      <w:pPr>
        <w:spacing w:before="0" w:after="0" w:line="408" w:lineRule="exact"/>
        <w:ind w:left="0" w:right="0" w:firstLine="576"/>
        <w:jc w:val="left"/>
      </w:pPr>
      <w:r>
        <w:rPr/>
        <w:t xml:space="preserve">(3) </w:t>
      </w:r>
      <w:r>
        <w:rPr>
          <w:u w:val="single"/>
        </w:rPr>
        <w:t xml:space="preserve">In addition to the transfer under subsection (2) of this section, the treasurer must make the following transfers during the 2017-2019 fiscal biennium for the purposes of funding property tax relief as provided in RCW 84.52.065:</w:t>
      </w:r>
    </w:p>
    <w:p>
      <w:pPr>
        <w:spacing w:before="0" w:after="0" w:line="408" w:lineRule="exact"/>
        <w:ind w:left="0" w:right="0" w:firstLine="576"/>
        <w:jc w:val="left"/>
      </w:pPr>
      <w:r>
        <w:rPr>
          <w:u w:val="single"/>
        </w:rPr>
        <w:t xml:space="preserve">(a) By June 30, 2018, the treasurer must transfer two hundred thirty-one million eight hundred forty-nine thousand dollars from the budget stabilization account to the state general fund.</w:t>
      </w:r>
    </w:p>
    <w:p>
      <w:pPr>
        <w:spacing w:before="0" w:after="0" w:line="408" w:lineRule="exact"/>
        <w:ind w:left="0" w:right="0" w:firstLine="576"/>
        <w:jc w:val="left"/>
      </w:pPr>
      <w:r>
        <w:rPr>
          <w:u w:val="single"/>
        </w:rPr>
        <w:t xml:space="preserve">(b) By June 30, 2019, the treasurer must transfer seven hundred sixty-three million nine hundred fifty-three thousand dollars from the budget stabilization account to the state general fund.</w:t>
      </w:r>
    </w:p>
    <w:p>
      <w:pPr>
        <w:spacing w:before="0" w:after="0" w:line="408" w:lineRule="exact"/>
        <w:ind w:left="0" w:right="0" w:firstLine="576"/>
        <w:jc w:val="left"/>
      </w:pPr>
      <w:r>
        <w:rPr>
          <w:u w:val="single"/>
        </w:rPr>
        <w:t xml:space="preserve">(4)</w:t>
      </w:r>
      <w:r>
        <w:rPr/>
        <w:t xml:space="preserve"> For purposes of RCW 43.88.055(4), the transfers in this section do not alter the requirement to balance in ensuing biennia.</w:t>
      </w:r>
    </w:p>
    <w:p/>
    <w:p>
      <w:pPr>
        <w:jc w:val="center"/>
      </w:pPr>
      <w:r>
        <w:rPr>
          <w:b/>
        </w:rPr>
        <w:t>--- END ---</w:t>
      </w:r>
    </w:p>
    <w:sectPr>
      <w:pgNumType w:start="1"/>
      <w:footerReference xmlns:r="http://schemas.openxmlformats.org/officeDocument/2006/relationships" r:id="R8a6d1b474a914b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85a4841f84b2c" /><Relationship Type="http://schemas.openxmlformats.org/officeDocument/2006/relationships/footer" Target="/word/footer.xml" Id="R8a6d1b474a914be1" /></Relationships>
</file>