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770ab11a647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Sells, Haler, Pollet, Appleton, Bergquist, Cody, Farrell, Riccelli, Lovick, Johnson, Ormsby, Springer, Gregerson, Ryu, Wylie, Sawyer, Santos, Senn, Goodman, Fey, and Stanford</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amending RCW 28B.52.035 and 28B.50.140;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provide important access to continuing education, preparation for a university, and workforce training that improve the quality of life and economic vitality of the state. The legislature further finds that a funding gap was created in the 2017-2019 biennium between the amount from the state general fund and the amount that was assumed to come from tuition increases. Therefore the legislature intends to fill the gap created in the 2017-2019 biennium and fund salary and benefit increases with sixty-six percent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u w:val="single"/>
        </w:rPr>
        <w:t xml:space="preserve">(1)</w:t>
      </w:r>
      <w:r>
        <w:rPr/>
        <w:t xml:space="preserve">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u w:val="single"/>
        </w:rPr>
        <w:t xml:space="preserve">(2) The written agreement acted upon by a board of trustees must
be submitted to the director of the office of financial management by
October 1 prior to the fiscal year in which the provisions of the
agreement go into effect.</w:t>
      </w:r>
      <w:r>
        <w:rPr/>
        <w:t xml:space="preserve">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1st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w:t>
      </w:r>
      <w:r>
        <w:t>((</w:t>
      </w:r>
      <w:r>
        <w:rPr>
          <w:strike/>
        </w:rPr>
        <w:t xml:space="preserve">for increments provided with local resources during the 2015-2017 fiscal biennium</w:t>
      </w:r>
      <w:r>
        <w:t>))</w:t>
      </w:r>
      <w:r>
        <w:rPr/>
        <w:t xml:space="preserve"> </w:t>
      </w:r>
      <w:r>
        <w:rPr>
          <w:u w:val="single"/>
        </w:rPr>
        <w:t xml:space="preserve">as provided for academic employees in RCW 28B.52.035 and technical college classified employees under chapter 41.56 RCW</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e90522ff847443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0bc74819d423d" /><Relationship Type="http://schemas.openxmlformats.org/officeDocument/2006/relationships/footer" Target="/word/footer.xml" Id="Re90522ff8474436d" /></Relationships>
</file>