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073e68d054d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1351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1351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Sawyer, Vick, Springer, Barkis, Blake, Fitzgibbon, and Haler)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under one license, the sale of spirits, beer, and wine at retail for off-premises consumption; amending RCW 66.24.360, 66.24.630, 66.24.363, and 66.24.632; reenacting and amending RCW 66.24.371;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three hundred sixteen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on-premise licensees to other retail licensees.</w:t>
      </w:r>
    </w:p>
    <w:p>
      <w:pPr>
        <w:spacing w:before="0" w:after="0" w:line="408" w:lineRule="exact"/>
        <w:ind w:left="0" w:right="0" w:firstLine="576"/>
        <w:jc w:val="left"/>
      </w:pPr>
      <w:r>
        <w:rPr/>
        <w:t xml:space="preserve">(4)(a) The board may issue a combination spirits, beer, and wine license:</w:t>
      </w:r>
    </w:p>
    <w:p>
      <w:pPr>
        <w:spacing w:before="0" w:after="0" w:line="408" w:lineRule="exact"/>
        <w:ind w:left="0" w:right="0" w:firstLine="576"/>
        <w:jc w:val="left"/>
      </w:pPr>
      <w:r>
        <w:rPr/>
        <w:t xml:space="preserve">(i)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(ii) For premises of a former contract liquor store; or</w:t>
      </w:r>
    </w:p>
    <w:p>
      <w:pPr>
        <w:spacing w:before="0" w:after="0" w:line="408" w:lineRule="exact"/>
        <w:ind w:left="0" w:right="0" w:firstLine="576"/>
        <w:jc w:val="left"/>
      </w:pPr>
      <w:r>
        <w:rPr/>
        <w:t xml:space="preserve">(iii) To a holder of former state liquor store operating rights sold at auction under RCW 66.24.620.</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and other retail premises over ten thousand square feet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66.24.630(3)(d).</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2015 c 192 s 1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t xml:space="preserve">(7)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(8)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(9)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(10)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(11)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(12) The board may adopt rules to implement this section.</w:t>
      </w:r>
    </w:p>
    <w:p>
      <w:pPr>
        <w:spacing w:before="0" w:after="0" w:line="408" w:lineRule="exact"/>
        <w:ind w:left="0" w:right="0" w:firstLine="576"/>
        <w:jc w:val="left"/>
      </w:pPr>
      <w:r>
        <w:rPr/>
        <w:t xml:space="preserve">(13) Nothing in this section limits the authority of the board to regulate the sale of beer or cider or container sizes under rules adopted pursuant to RCW 66.08.030.</w:t>
      </w:r>
    </w:p>
    <w:p>
      <w:pPr>
        <w:spacing w:before="0" w:after="0" w:line="408" w:lineRule="exact"/>
        <w:ind w:left="0" w:right="0" w:firstLine="576"/>
        <w:jc w:val="left"/>
      </w:pPr>
      <w:r>
        <w:rPr>
          <w:u w:val="single"/>
        </w:rPr>
        <w:t xml:space="preserve">(14) Any endorsement issued pursuant to this section or RCW 66.24.363 may be issued to a qualified combination spirits, beer, and wine licensee in accordance with section 1(10) of this act.</w:t>
      </w:r>
    </w:p>
    <w:p>
      <w:pPr>
        <w:spacing w:before="0" w:after="0" w:line="408" w:lineRule="exact"/>
        <w:ind w:left="0" w:right="0" w:firstLine="576"/>
        <w:jc w:val="left"/>
      </w:pPr>
      <w:r>
        <w:rPr>
          <w:u w:val="single"/>
        </w:rPr>
        <w:t xml:space="preserve">(15)(a) A grocery store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grocery store license under this section and a spirits retail license under RCW 66.24.630 may apply for a single license pursuant to section 1 of this act instead of applying for a grocery store license under this section in addition to a spirits retail license under to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shall be a beer and/or wine retailer's license to be designated as a beer and/or wine specialty shop license to sell beer, strong beer, and/or wine at retail in bottles, cans, and original containers, not to be consumed upon the premises where sold, at any store other than the state liquor stores. Licensees obtaining a written endorsement from the board may also sell malt liquor in kegs or other containers capable of holding four gallons or more of liquid. The annual fee for the beer and/or wine specialty shop license is one hundred dollars for each store. The sale of any container holding four gallons or more must comply with RCW 66.28.200 and 66.28.220.</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the beer and/or wine specialty shop licensee that exceeds fifty percent beer and/or wine sales may also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Pr>
        <w:spacing w:before="0" w:after="0" w:line="408" w:lineRule="exact"/>
        <w:ind w:left="0" w:right="0" w:firstLine="576"/>
        <w:jc w:val="left"/>
      </w:pPr>
      <w:r>
        <w:rPr>
          <w:u w:val="single"/>
        </w:rPr>
        <w:t xml:space="preserve">(7) Any endorsement issued pursuant to this section may be issued to a qualified combination spirits, beer, and wine licensee in accordance with section 1 of this act.</w:t>
      </w:r>
    </w:p>
    <w:p>
      <w:pPr>
        <w:spacing w:before="0" w:after="0" w:line="408" w:lineRule="exact"/>
        <w:ind w:left="0" w:right="0" w:firstLine="576"/>
        <w:jc w:val="left"/>
      </w:pPr>
      <w:r>
        <w:rPr>
          <w:u w:val="single"/>
        </w:rPr>
        <w:t xml:space="preserve">(8)(a) A beer and/or wine specialty shop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beer and/or wine specialty shop license under this section and a spirits retail license under RCW 66.24.630 may apply for a single license pursuant to section 1 of this act instead of applying for a beer and/or wine specialty shop license under this section in addition to a spirits retail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w:t>
      </w:r>
      <w:r>
        <w:rPr>
          <w:u w:val="single"/>
        </w:rPr>
        <w:t xml:space="preserve">including combination spirits, beer, and wine licensees holding a license issued pursuant to section 1 of this act,</w:t>
      </w:r>
      <w:r>
        <w:rPr/>
        <w:t xml:space="preserve">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w:t>
      </w:r>
      <w:r>
        <w:t>((</w:t>
      </w:r>
      <w:r>
        <w:rPr>
          <w:strike/>
        </w:rPr>
        <w:t xml:space="preserve">promulgated</w:t>
      </w:r>
      <w:r>
        <w:t>))</w:t>
      </w:r>
      <w:r>
        <w:rPr/>
        <w:t xml:space="preserve"> </w:t>
      </w:r>
      <w:r>
        <w:rPr>
          <w:u w:val="single"/>
        </w:rPr>
        <w:t xml:space="preserve">adopted</w:t>
      </w:r>
      <w:r>
        <w:rPr/>
        <w:t xml:space="preserve">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w:t>
      </w:r>
      <w:r>
        <w:t>((</w:t>
      </w:r>
      <w:r>
        <w:rPr>
          <w:strike/>
        </w:rPr>
        <w:t xml:space="preserve">promulgated</w:t>
      </w:r>
      <w:r>
        <w:t>))</w:t>
      </w:r>
      <w:r>
        <w:rPr/>
        <w:t xml:space="preserve"> </w:t>
      </w:r>
      <w:r>
        <w:rPr>
          <w:u w:val="single"/>
        </w:rPr>
        <w:t xml:space="preserve">adopted</w:t>
      </w:r>
      <w:r>
        <w:rPr/>
        <w:t xml:space="preserve">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w:t>
      </w:r>
      <w:r>
        <w:t>((</w:t>
      </w:r>
      <w:r>
        <w:rPr>
          <w:strike/>
        </w:rPr>
        <w:t xml:space="preserve">promulgate</w:t>
      </w:r>
      <w:r>
        <w:t>))</w:t>
      </w:r>
      <w:r>
        <w:rPr/>
        <w:t xml:space="preserve"> </w:t>
      </w:r>
      <w:r>
        <w:rPr>
          <w:u w:val="single"/>
        </w:rPr>
        <w:t xml:space="preserve">adopt</w:t>
      </w:r>
      <w:r>
        <w:rPr/>
        <w:t xml:space="preserv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u w:val="single"/>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(ii) An applicant that would qualify for a spirits retail license under this section and that qualifies for a combination spirits, beer, and wine license pursuant to section 1 of this act may apply for a license pursuant to section 1 of this act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 the board determines that no licensee in the community the licensee serves meets the square footage requirement and the licensee meets operational requirements established by the board by rule;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shall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0" w:after="0" w:line="408" w:lineRule="exact"/>
        <w:ind w:left="0" w:right="0" w:firstLine="576"/>
        <w:jc w:val="left"/>
      </w:pPr>
      <w:r>
        <w:rPr>
          <w:u w:val="single"/>
        </w:rPr>
        <w:t xml:space="preserve">(11) An endorsement issued pursuant to this section may be issued to a qualified combination spirits, beer, and wine licensee in accordance with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632</w:t>
      </w:r>
      <w:r>
        <w:rPr/>
        <w:t xml:space="preserve"> and 2013 2nd sp.s. c 12 s 3 are each amended to read as follows:</w:t>
      </w:r>
    </w:p>
    <w:p>
      <w:pPr>
        <w:spacing w:before="0" w:after="0" w:line="408" w:lineRule="exact"/>
        <w:ind w:left="0" w:right="0" w:firstLine="576"/>
        <w:jc w:val="left"/>
      </w:pPr>
      <w:r>
        <w:rPr/>
        <w:t xml:space="preserve">(1) Beginning June 30, 2013, the license issuance fee under RCW 66.24.630(4) does not apply to a spirits retail licensee </w:t>
      </w:r>
      <w:r>
        <w:rPr>
          <w:u w:val="single"/>
        </w:rPr>
        <w:t xml:space="preserve">or combination spirits, beer, and wine licensee</w:t>
      </w:r>
      <w:r>
        <w:rPr/>
        <w:t xml:space="preserve"> that was a contract liquor store manager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(2) Beginning June 30, 2013, the license issuance fee under RCW 66.24.630(4) does not apply to a spirits retail licensee </w:t>
      </w:r>
      <w:r>
        <w:rPr>
          <w:u w:val="single"/>
        </w:rPr>
        <w:t xml:space="preserve">or combination spirits, beer, and wine licensee</w:t>
      </w:r>
      <w:r>
        <w:rPr/>
        <w:t xml:space="preserve"> that was a former state store auction buyer,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(3) The exemptions created in this section attach to any successor, by purchase or otherwise, to the spirits retail license </w:t>
      </w:r>
      <w:r>
        <w:rPr>
          <w:u w:val="single"/>
        </w:rPr>
        <w:t xml:space="preserve">or combination beer and wine license</w:t>
      </w:r>
      <w:r>
        <w:rPr/>
        <w:t xml:space="preserve">, except that an exemption does not attach to any such successor that owns, directly or indirectly, any interest in a spirits retail license that is not derived directly from a former contract liquor store manager or a former state store auction buyer.</w:t>
      </w:r>
    </w:p>
    <w:p/>
    <w:p>
      <w:pPr>
        <w:jc w:val="center"/>
      </w:pPr>
      <w:r>
        <w:rPr>
          <w:b/>
        </w:rPr>
        <w:t>--- END ---</w:t>
      </w:r>
    </w:p>
    <w:sectPr>
      <w:pgNumType w:start="1"/>
      <w:footerReference xmlns:r="http://schemas.openxmlformats.org/officeDocument/2006/relationships" r:id="R7dc5e925420644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04fe4371c4692" /><Relationship Type="http://schemas.openxmlformats.org/officeDocument/2006/relationships/footer" Target="/word/footer.xml" Id="R7dc5e92542064447" /></Relationships>
</file>