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a41c33dd946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Van Werven, Tarleton, Orwall, Griffey, Haler, Holy, McCabe, Young, Dent, Riccelli, Bergquist, Buys, Kraft, Kagi, Ryu, Muri, Goodman, Lovick, Frame, and Hargrove)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and</w:t>
      </w:r>
    </w:p>
    <w:p>
      <w:pPr>
        <w:spacing w:before="0" w:after="0" w:line="408" w:lineRule="exact"/>
        <w:ind w:left="0" w:right="0" w:firstLine="576"/>
        <w:jc w:val="left"/>
      </w:pPr>
      <w:r>
        <w:rPr/>
        <w:t xml:space="preserve">(b) Whether a course uses open educational resources.</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f73d39f1ce64d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97eaa2e9e4fea" /><Relationship Type="http://schemas.openxmlformats.org/officeDocument/2006/relationships/footer" Target="/word/footer.xml" Id="Rcf73d39f1ce64d00" /></Relationships>
</file>