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7be458e9545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1377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64</w:t>
            </w:r>
            <w:r>
              <w:t xml:space="preserve">  Nays </w:t>
              <w:t xml:space="preserve">34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Stonier, Santos, Lovick, Gregerson, Peterson, Ryu, Appleton, Fitzgibbon, Goodman, Bergquist, and Doglio)</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students' mental health by enhancing nonacademic professional services; adding new sections to chapter 28A.320 RCW; adding a new section to chapter 28A.410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school social worker, and school psychologist.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school counselor works with developing and leading a comprehensive guidance and counseling program to focus on the academic, career, personal, and social needs of all students. School psychologists carry out special education evaluation duties, among other things. School social workers promote and support students' health, academic, and social success with counseling and support, and by providing and coordinating specialized services and resources. All of these professionals are also involved in multitiered systems of support for academic and behavioral skills. These professionals focus on student mental health, work with at-risk and marginalized students, perform risk assessments, and collaborate with mental health professionals to promote student achievement and create a safe learning environment.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2019-20 school year, first</w:t>
      </w:r>
      <w:r>
        <w:rPr/>
        <w:noBreakHyphen/>
      </w:r>
      <w:r>
        <w:rPr/>
        <w:t xml:space="preserve">class school districts must provide a minimum of six hours of professional collaboration per year,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Teachers may also participate in this professional collaboration, as deemed appropriate and allowed by their building administrators.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at least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2018-19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9e2bec1efaf44a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26a2948e645b1" /><Relationship Type="http://schemas.openxmlformats.org/officeDocument/2006/relationships/footer" Target="/word/footer.xml" Id="R9e2bec1efaf44acf" /></Relationships>
</file>