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bfb50de9d406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1464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17, 2017</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1464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1464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Judiciary (originally sponsored by Representatives Blake, Orcutt, Chapman, and Tarleton; by request of Department of Fish and Wildlife)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cooperative agreements to expand recreational access on privately owned lands;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t>((</w:t>
      </w:r>
      <w:r>
        <w:rPr>
          <w:strike/>
        </w:rPr>
        <w:t xml:space="preserve">and</w:t>
      </w:r>
      <w:r>
        <w:t>))</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 and</w:t>
      </w:r>
    </w:p>
    <w:p>
      <w:pPr>
        <w:spacing w:before="0" w:after="0" w:line="408" w:lineRule="exact"/>
        <w:ind w:left="0" w:right="0" w:firstLine="576"/>
        <w:jc w:val="left"/>
      </w:pPr>
      <w:r>
        <w:rPr>
          <w:u w:val="single"/>
        </w:rPr>
        <w:t xml:space="preserve">(d) Payments to landowners for public access from state, local, or nonprofit organizations established under department of fish and wildlife cooperative public access agreements if the landowner does not charge a fee to access the land subject to the cooperative agreement</w:t>
      </w:r>
      <w:r>
        <w:rPr/>
        <w:t xml:space="preserve">.</w:t>
      </w:r>
    </w:p>
    <w:p/>
    <w:p>
      <w:pPr>
        <w:jc w:val="center"/>
      </w:pPr>
      <w:r>
        <w:rPr>
          <w:b/>
        </w:rPr>
        <w:t>--- END ---</w:t>
      </w:r>
    </w:p>
    <w:sectPr>
      <w:pgNumType w:start="1"/>
      <w:footerReference xmlns:r="http://schemas.openxmlformats.org/officeDocument/2006/relationships" r:id="Rccf1be8f6b8049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cb321733294666" /><Relationship Type="http://schemas.openxmlformats.org/officeDocument/2006/relationships/footer" Target="/word/footer.xml" Id="Rccf1be8f6b804922" /></Relationships>
</file>