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487ebf6ed40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Doglio, Jinkins, Goodman, Senn, Robinson, Stonier, Kagi, Cody, Macri, Bergquist, Slatter, McBride, Peterson, Hudgins, Stanford, Frame, and Appleton)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and responsibilities of sexual assault perpetrators and survivors; amending RCW 26.09.191 and 26.33.170; and adding a new section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the child.</w:t>
      </w:r>
    </w:p>
    <w:p>
      <w:pPr>
        <w:spacing w:before="0" w:after="0" w:line="408" w:lineRule="exact"/>
        <w:ind w:left="0" w:right="0" w:firstLine="576"/>
        <w:jc w:val="left"/>
      </w:pPr>
      <w:r>
        <w:rPr/>
        <w:t xml:space="preserve">(2) For the purposes of this section, "sexual assault" means nonconsensual sexual penetration that results in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the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a sexual assault under RCW 9A.44.040, 9A.44.050, 9A.44.060, or a comparable crime of sexual assault in any jurisdiction, against the child's parent, and that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within three hundred twenty days after the sexual assault.</w:t>
      </w:r>
    </w:p>
    <w:p>
      <w:pPr>
        <w:spacing w:before="0" w:after="0" w:line="408" w:lineRule="exact"/>
        <w:ind w:left="0" w:right="0" w:firstLine="576"/>
        <w:jc w:val="left"/>
      </w:pPr>
      <w:r>
        <w:rPr/>
        <w:t xml:space="preserve">(4) An allegation that the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The pleading making the allegation must be filed in a petition or in a response to a petition in proceedings filed no later than four years after the birth of the child, except that (i) the pleading making the allegation that the child was born as a result of a sexual assault may be filed at any time in proceedings pursuant to RCW 26.26.525; or (ii) for a period of two years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there is an allegation that the child was born as a result of a sexual assault against the child's parent by the person seeking parentage or presumed to be the parent of the child,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is a presumed parent of the child; and (ii) the court specifically finds that it would be in the best interests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party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If, after the fact-finding hearing or after a bench trial, the court finds that the person seeking parental rights or presumed to be a legal parent committed sexual assault, pursuant to the standards set forth in subsection (3)(a) or (b) of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If the court enters an order under subsection (10) of this section providing that no child support obligation may be established or collected from the person seeking parentage or presumed to be the parent who has been found to have committed a sexual assault, the court shall forward a copy of the order to the Washington state support registry.</w:t>
      </w:r>
    </w:p>
    <w:p>
      <w:pPr>
        <w:spacing w:before="0" w:after="0" w:line="408" w:lineRule="exact"/>
        <w:ind w:left="0" w:right="0" w:firstLine="576"/>
        <w:jc w:val="left"/>
      </w:pPr>
      <w:r>
        <w:rPr/>
        <w:t xml:space="preserve">(12) The court may order an award of attorneys' fees under this section on the same basis as attorneys' fees are awarded under RCW 26.09.140.</w:t>
      </w:r>
    </w:p>
    <w:p>
      <w:pPr>
        <w:spacing w:before="0" w:after="0" w:line="408" w:lineRule="exact"/>
        <w:ind w:left="0" w:right="0" w:firstLine="576"/>
        <w:jc w:val="left"/>
      </w:pPr>
      <w:r>
        <w:rPr/>
        <w:t xml:space="preserve">(13)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 (a) Restrict admission to only those persons whom the court finds to have a direct interest in the case or in the work of the court, including witnesses deemed necessary to the disposition of the case; and (b) restrict persons who are admitted from disclosing any information obtained at the hearing that would identify the parties involved 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1 of this act to have committed sexual assault, as defined in section 1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An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rape </w:t>
      </w:r>
      <w:r>
        <w:t>((</w:t>
      </w:r>
      <w:r>
        <w:rPr>
          <w:strike/>
        </w:rPr>
        <w:t xml:space="preserve">or</w:t>
      </w:r>
      <w:r>
        <w:t>))</w:t>
      </w:r>
      <w:r>
        <w:rPr>
          <w:u w:val="single"/>
        </w:rPr>
        <w:t xml:space="preserve">,</w:t>
      </w:r>
      <w:r>
        <w:rPr/>
        <w:t xml:space="preserve"> incest</w:t>
      </w:r>
      <w:r>
        <w:rPr>
          <w:u w:val="single"/>
        </w:rPr>
        <w:t xml:space="preserve">, or sexual assault</w:t>
      </w:r>
      <w:r>
        <w:rPr/>
        <w:t xml:space="preserve"> and the adoptee was conceived as a result of the rape </w:t>
      </w:r>
      <w:r>
        <w:t>((</w:t>
      </w:r>
      <w:r>
        <w:rPr>
          <w:strike/>
        </w:rPr>
        <w:t xml:space="preserve">or</w:t>
      </w:r>
      <w:r>
        <w:t>))</w:t>
      </w:r>
      <w:r>
        <w:rPr>
          <w:u w:val="single"/>
        </w:rPr>
        <w:t xml:space="preserve">,</w:t>
      </w:r>
      <w:r>
        <w:rPr/>
        <w:t xml:space="preserve"> incest</w:t>
      </w:r>
      <w:r>
        <w:rPr>
          <w:u w:val="single"/>
        </w:rPr>
        <w:t xml:space="preserve">, or sexual assault, unless the parent who is the victim indicates by affidavit or sworn testimony that consent to adoption by the person who committed the rape, incest, or sexual assault should occur</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677c98ab98344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a3992db5b44e1" /><Relationship Type="http://schemas.openxmlformats.org/officeDocument/2006/relationships/footer" Target="/word/footer.xml" Id="Re677c98ab98344b8" /></Relationships>
</file>