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e14462caf746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1600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1600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Education (originally sponsored by Representatives Santos, Pettigrew, Harris, Young, Stonier, Pike, Appleton, Johnson, Fey, Bergquist, Hudgins, Kraft, Slatter, and Tarleton)</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work-integrated learning initiative is established. The purpose of the initiative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registered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Local applicant schools receiving funding through participation in the initiative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Demonstrate collaboration with and input from students, parents or guardians, local employers, community members, a workforce development council, and a labor organization. Evidence of local collaborations may include but are not limited to partnerships with a dropout reengagement organization, an apprenticeship sponsor, a community and technical college, a STEM network, or a homeless youth service organization;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graduation requirements established by the state board of education; and</w:t>
      </w:r>
    </w:p>
    <w:p>
      <w:pPr>
        <w:spacing w:before="0" w:after="0" w:line="408" w:lineRule="exact"/>
        <w:ind w:left="0" w:right="0" w:firstLine="576"/>
        <w:jc w:val="left"/>
      </w:pPr>
      <w:r>
        <w:rPr/>
        <w:t xml:space="preserve">(e) Align the high school and beyond plans of participating students to reflect opportunities that may be available through the initiative.</w:t>
      </w:r>
    </w:p>
    <w:p>
      <w:pPr>
        <w:spacing w:before="0" w:after="0" w:line="408" w:lineRule="exact"/>
        <w:ind w:left="0" w:right="0" w:firstLine="576"/>
        <w:jc w:val="left"/>
      </w:pPr>
      <w:r>
        <w:rPr/>
        <w:t xml:space="preserve">(3)(a) Local applicant schools selected to participate in the work-integrated learning initiative must, in accordance with this section and section 3 of this act, submit to the work-integrated learning advisory committee created in section 3 of this act an interim and an end-of-project report that includes numeric and other data summarizing the effects of their work-integrated learning project programs on high school graduation rates, state test scores, and community partnerships, including partnerships with local employers and industries.</w:t>
      </w:r>
    </w:p>
    <w:p>
      <w:pPr>
        <w:spacing w:before="0" w:after="0" w:line="408" w:lineRule="exact"/>
        <w:ind w:left="0" w:right="0" w:firstLine="576"/>
        <w:jc w:val="left"/>
      </w:pPr>
      <w:r>
        <w:rPr/>
        <w:t xml:space="preserve">(b) In complying with this subsection (3), local applicant schools must also provide other data and information as requested by the work-integrated learning advisory committee in accordance with section 3 of this act.</w:t>
      </w:r>
    </w:p>
    <w:p>
      <w:pPr>
        <w:spacing w:before="0" w:after="0" w:line="408" w:lineRule="exact"/>
        <w:ind w:left="0" w:right="0" w:firstLine="576"/>
        <w:jc w:val="left"/>
      </w:pPr>
      <w:r>
        <w:rPr/>
        <w:t xml:space="preserve">(4) For the purposes of this section and sections 2 and 3 of this act, "work-integrated learning" includes but is not limited to early, frequent, and systematic learning experiences that are essential for preparing Washington youth for high-demand, family-wage jobs in Washington state, and that engage students in grades five through twelve or through high school dropout reengagement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may contract with a statewide nonprofit organization with expertise in promoting and supporting work-integrated learning from early learning through postsecondary education to establish a matching grant program to fund projects implemented by local applicant schools identified in section 1 of this act.</w:t>
      </w:r>
    </w:p>
    <w:p>
      <w:pPr>
        <w:spacing w:before="0" w:after="0" w:line="408" w:lineRule="exact"/>
        <w:ind w:left="0" w:right="0" w:firstLine="576"/>
        <w:jc w:val="left"/>
      </w:pPr>
      <w:r>
        <w:rPr/>
        <w:t xml:space="preserve">(b) The matching grant program shall include the following minimum requirements for local applicant schools:</w:t>
      </w:r>
    </w:p>
    <w:p>
      <w:pPr>
        <w:spacing w:before="0" w:after="0" w:line="408" w:lineRule="exact"/>
        <w:ind w:left="0" w:right="0" w:firstLine="576"/>
        <w:jc w:val="left"/>
      </w:pPr>
      <w:r>
        <w:rPr/>
        <w:t xml:space="preserve">(i) Measurable and accountable focus on low-income youth, homeless youth, and youth of color;</w:t>
      </w:r>
    </w:p>
    <w:p>
      <w:pPr>
        <w:spacing w:before="0" w:after="0" w:line="408" w:lineRule="exact"/>
        <w:ind w:left="0" w:right="0" w:firstLine="576"/>
        <w:jc w:val="left"/>
      </w:pPr>
      <w:r>
        <w:rPr/>
        <w:t xml:space="preserve">(ii) Accountability for increasing registered youth apprenticeships, internships, mentors, career planning, and other work-integrated learning experiences;</w:t>
      </w:r>
    </w:p>
    <w:p>
      <w:pPr>
        <w:spacing w:before="0" w:after="0" w:line="408" w:lineRule="exact"/>
        <w:ind w:left="0" w:right="0" w:firstLine="576"/>
        <w:jc w:val="left"/>
      </w:pPr>
      <w:r>
        <w:rPr/>
        <w:t xml:space="preserve">(iii) Regional coordinators or liaisons to facilitate links between schools, higher education institutions, business, labor, and the community in developing internships and other work-integrated learning experiences; and</w:t>
      </w:r>
    </w:p>
    <w:p>
      <w:pPr>
        <w:spacing w:before="0" w:after="0" w:line="408" w:lineRule="exact"/>
        <w:ind w:left="0" w:right="0" w:firstLine="576"/>
        <w:jc w:val="left"/>
      </w:pPr>
      <w:r>
        <w:rPr/>
        <w:t xml:space="preserve">(iv) System-wide support for work-integrated learning experiences, including but not limited to career awareness, career explorations, career counseling, and career preparation and training.</w:t>
      </w:r>
    </w:p>
    <w:p>
      <w:pPr>
        <w:spacing w:before="0" w:after="0" w:line="408" w:lineRule="exact"/>
        <w:ind w:left="0" w:right="0" w:firstLine="576"/>
        <w:jc w:val="left"/>
      </w:pPr>
      <w:r>
        <w:rPr/>
        <w:t xml:space="preserve">(2)(a) Grant funds awarded in accordance with this section may be expended only to the extent that they are equally matched by private sector cash contributions for the program. Grantees must provide reports to the work-integrated learning advisory committee in accordance with section 3 of this act.</w:t>
      </w:r>
    </w:p>
    <w:p>
      <w:pPr>
        <w:spacing w:before="0" w:after="0" w:line="408" w:lineRule="exact"/>
        <w:ind w:left="0" w:right="0" w:firstLine="576"/>
        <w:jc w:val="left"/>
      </w:pPr>
      <w:r>
        <w:rPr/>
        <w:t xml:space="preserve">(b) By November 15, 2020, and yearly thereafter, the office of the superintendent of public instruction must provide an evaluation to the governor and the education and economic development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section 1 of this act;</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section 1 of this act.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Work collaboratively, as appropriate, with the expanded learning opportunities advisory council as provided in chapter . . ., Laws of 2018 (Engrossed Substitute House Bill No. 2802).</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September 1, 2022.</w:t>
      </w:r>
    </w:p>
    <w:p/>
    <w:p>
      <w:pPr>
        <w:jc w:val="center"/>
      </w:pPr>
      <w:r>
        <w:rPr>
          <w:b/>
        </w:rPr>
        <w:t>--- END ---</w:t>
      </w:r>
    </w:p>
    <w:sectPr>
      <w:pgNumType w:start="1"/>
      <w:footerReference xmlns:r="http://schemas.openxmlformats.org/officeDocument/2006/relationships" r:id="Rcf926d9dd6f04f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84fdda12b448d" /><Relationship Type="http://schemas.openxmlformats.org/officeDocument/2006/relationships/footer" Target="/word/footer.xml" Id="Rcf926d9dd6f04f9d" /></Relationships>
</file>