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0bf5fe98041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2143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2143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2143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Haler, Hansen, Holy, Stanford, and Muri)</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higher education students; amending RCW 28B.145.005, 28B.145.010, 28B.145.020, 28B.145.030, 28B.145.040, and 28B.145.090;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and other programs </w:t>
      </w:r>
      <w:r>
        <w:rPr>
          <w:u w:val="single"/>
        </w:rPr>
        <w:t xml:space="preserve">and advanced degrees in health professions needed in service obligation areas</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 shall staff the board and</w:t>
      </w:r>
      <w:r>
        <w:t>))</w:t>
      </w:r>
      <w:r>
        <w:rPr/>
        <w:t xml:space="preserve">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advanced degrees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advanced degrees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advanced degrees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accounts in equal proportion to the private funds deposited in each account</w:t>
      </w:r>
      <w:r>
        <w:rPr>
          <w:u w:val="single"/>
        </w:rPr>
        <w:t xml:space="preserve">, except that no more than one million dollars in state match shall be deposited into the advanced degrees pathways account in a single fiscal biennium</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advanced degrees pathways account,</w:t>
      </w:r>
      <w:r>
        <w:rPr/>
        <w:t xml:space="preserve"> or endowment account under this section, the state acts in a fiduciary rather than ownership capacity with regard to those assets. Assets in the scholarship account</w:t>
      </w:r>
      <w:r>
        <w:rPr>
          <w:u w:val="single"/>
        </w:rPr>
        <w:t xml:space="preserve">, advanced degrees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advanced degrees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w:t>
      </w:r>
      <w:r>
        <w:rPr>
          <w:u w:val="single"/>
        </w:rPr>
        <w:t xml:space="preserve">and advanced degrees in health professions needed in service obligation areas,</w:t>
      </w:r>
      <w:r>
        <w:rPr/>
        <w:t xml:space="preserve">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advanced degrees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advanced degrees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advanced degrees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advanced degrees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55fa3c00c67449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f7487199447e1" /><Relationship Type="http://schemas.openxmlformats.org/officeDocument/2006/relationships/footer" Target="/word/footer.xml" Id="R55fa3c00c6744948" /></Relationships>
</file>