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2579ef7f042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Manweller and Ormsby)</w:t>
      </w:r>
    </w:p>
    <w:p/>
    <w:p>
      <w:r>
        <w:rPr>
          <w:t xml:space="preserve">READ FIRST TIME 04/17/17.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for membership in the law enforcement officers' and firefighters' retirement system plan 2; amending RCW 41.26.030; and adding new sections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that meets the requirements of RCW 18.71.200 or 18.73.030(12), and whose duties include providing emergency medical services as defined in RCW 18.73.030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subchapter heading "plan 2" to read as follows:</w:t>
      </w:r>
    </w:p>
    <w:p>
      <w:pPr>
        <w:spacing w:before="0" w:after="0" w:line="408" w:lineRule="exact"/>
        <w:ind w:left="0" w:right="0" w:firstLine="576"/>
        <w:jc w:val="left"/>
      </w:pPr>
      <w:r>
        <w:rPr/>
        <w:t xml:space="preserve">(1) A member who provided service as an emergency medical technician to an employer may establish credit for such service rendered on or after July 24, 2005, and prior to the effective date of this section, unless that service is already credited.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Before July 1, 2018, a member not enrolled in the public employees' retirement system for service between July 24, 2005, and the effective date of this section may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3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January 1, 2016, not to exceed three percent of the member's basic salary from July 1, 2005, through December 31, 2015.</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the law enforcement officers' and firefighters' retirement system plan 2 under this section may:</w:t>
      </w:r>
    </w:p>
    <w:p>
      <w:pPr>
        <w:spacing w:before="0" w:after="0" w:line="408" w:lineRule="exact"/>
        <w:ind w:left="0" w:right="0" w:firstLine="576"/>
        <w:jc w:val="left"/>
      </w:pPr>
      <w:r>
        <w:rPr/>
        <w:t xml:space="preserve">(A) Make an election in writing to the department of retirement systems by January 1, 2018,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January 1, 2018,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Before July 1, 2018, elect to transfer service credit previously earned as an emergency medical technician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(1)(b)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3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under the public employees' retirement system.</w:t>
      </w:r>
    </w:p>
    <w:p>
      <w:pPr>
        <w:spacing w:before="0" w:after="0" w:line="408" w:lineRule="exact"/>
        <w:ind w:left="0" w:right="0" w:firstLine="576"/>
        <w:jc w:val="left"/>
      </w:pPr>
      <w:r>
        <w:rPr/>
        <w:t xml:space="preserve">(3) Employers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subchapter heading "plan 2" to read as follows:</w:t>
      </w:r>
    </w:p>
    <w:p>
      <w:pPr>
        <w:spacing w:before="0" w:after="0" w:line="408" w:lineRule="exact"/>
        <w:ind w:left="0" w:right="0" w:firstLine="576"/>
        <w:jc w:val="left"/>
      </w:pPr>
      <w:r>
        <w:rPr/>
        <w:t xml:space="preserve">If a member who elected to transfer pursuant to section 2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2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2 of this act; or</w:t>
      </w:r>
    </w:p>
    <w:p>
      <w:pPr>
        <w:spacing w:before="0" w:after="0" w:line="408" w:lineRule="exact"/>
        <w:ind w:left="0" w:right="0" w:firstLine="576"/>
        <w:jc w:val="left"/>
      </w:pPr>
      <w:r>
        <w:rPr/>
        <w:t xml:space="preserve">(c) Continue to make payment against the obligation under section 2 of this act,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b463de24a28c47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0e46c64bf4161" /><Relationship Type="http://schemas.openxmlformats.org/officeDocument/2006/relationships/footer" Target="/word/footer.xml" Id="Rb463de24a28c4782" /></Relationships>
</file>