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380d4aedc4e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Kilduff, Graves, Jinkins, Sawyer, Pollet, Valdez, and Appleton)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selection; and amending RCW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2015 c 7 s 3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one week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w:t>
      </w:r>
      <w:r>
        <w:rPr>
          <w:u w:val="single"/>
        </w:rPr>
        <w:t xml:space="preserve">on account of membership in a protected class recognized in RCW 49.60.030, or</w:t>
      </w:r>
      <w:r>
        <w:rPr/>
        <w:t xml:space="preserve"> on account of </w:t>
      </w:r>
      <w:r>
        <w:t>((</w:t>
      </w:r>
      <w:r>
        <w:rPr>
          <w:strike/>
        </w:rPr>
        <w:t xml:space="preserve">race, color, religion, sex, national origin, or</w:t>
      </w:r>
      <w:r>
        <w:t>))</w:t>
      </w:r>
      <w:r>
        <w:rPr/>
        <w:t xml:space="preserve"> economic status.</w:t>
      </w:r>
    </w:p>
    <w:p>
      <w:pPr>
        <w:spacing w:before="0" w:after="0" w:line="408" w:lineRule="exact"/>
        <w:ind w:left="0" w:right="0" w:firstLine="576"/>
        <w:jc w:val="left"/>
      </w:pPr>
      <w:r>
        <w:rPr/>
        <w:t xml:space="preserve">(4) This section does not affect the right to peremptory challenges under RCW 4.44.130</w:t>
      </w:r>
      <w:r>
        <w:rPr>
          <w:u w:val="single"/>
        </w:rPr>
        <w:t xml:space="preserve">, the right to general causes of challenge under RCW 4.44.160, the right to particular causes of challenge under RCW 4.44.170, or a judge's duty to excuse a juror under RCW 2.36.110</w:t>
      </w:r>
      <w:r>
        <w:rPr/>
        <w:t xml:space="preserve">.</w:t>
      </w:r>
    </w:p>
    <w:p/>
    <w:p>
      <w:pPr>
        <w:jc w:val="center"/>
      </w:pPr>
      <w:r>
        <w:rPr>
          <w:b/>
        </w:rPr>
        <w:t>--- END ---</w:t>
      </w:r>
    </w:p>
    <w:sectPr>
      <w:pgNumType w:start="1"/>
      <w:footerReference xmlns:r="http://schemas.openxmlformats.org/officeDocument/2006/relationships" r:id="R35da49fb2ed24f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8aba7b6df49d0" /><Relationship Type="http://schemas.openxmlformats.org/officeDocument/2006/relationships/footer" Target="/word/footer.xml" Id="R35da49fb2ed24f6b" /></Relationships>
</file>