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b9deb5abc42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2406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Stanford, and Ormsby)</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29A.12.005, 29A.60.125, and 29A.60.235;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of duplicated ballots in accordance with subsection (2) of this section, and 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Prior to certification of the election, the county auditor must conduct an audit of ballots duplicated under RCW 29A.60.125. The audit of duplicated ballots must involve a comparison of the duplicated ballot to the original ballot. The county canvassing board must establish procedures for the auditing of duplicated ballots.</w:t>
      </w:r>
    </w:p>
    <w:p>
      <w:pPr>
        <w:spacing w:before="0" w:after="0" w:line="408" w:lineRule="exact"/>
        <w:ind w:left="0" w:right="0" w:firstLine="576"/>
        <w:jc w:val="left"/>
      </w:pPr>
      <w:r>
        <w:rPr>
          <w:u w:val="single"/>
        </w:rPr>
        <w:t xml:space="preserve">(3)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 T</w:t>
      </w:r>
      <w:r>
        <w:rPr/>
        <w:t xml:space="preserve">he check must be completed no later than forty-eight hours after election day.</w:t>
      </w:r>
    </w:p>
    <w:p>
      <w:pPr>
        <w:spacing w:before="0" w:after="0" w:line="408" w:lineRule="exact"/>
        <w:ind w:left="0" w:right="0" w:firstLine="576"/>
        <w:jc w:val="left"/>
      </w:pPr>
      <w:r>
        <w:rPr>
          <w:u w:val="single"/>
        </w:rPr>
        <w:t xml:space="preserve">(4)(a) By November 1, 2018, the secretary of state shall:</w:t>
      </w:r>
    </w:p>
    <w:p>
      <w:pPr>
        <w:spacing w:before="0" w:after="0" w:line="408" w:lineRule="exact"/>
        <w:ind w:left="0" w:right="0" w:firstLine="576"/>
        <w:jc w:val="left"/>
      </w:pPr>
      <w:r>
        <w:rPr>
          <w:u w:val="singl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u w:val="single"/>
        </w:rPr>
        <w:t xml:space="preserve">(ii) Evaluate the procedures to identify the best practices and any discrepancies.</w:t>
      </w:r>
    </w:p>
    <w:p>
      <w:pPr>
        <w:spacing w:before="0" w:after="0" w:line="408" w:lineRule="exact"/>
        <w:ind w:left="0" w:right="0" w:firstLine="576"/>
        <w:jc w:val="left"/>
      </w:pPr>
      <w:r>
        <w:rPr>
          <w:u w:val="singl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b8f9ce0e5a20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064b27abd4c4a" /><Relationship Type="http://schemas.openxmlformats.org/officeDocument/2006/relationships/footer" Target="/word/footer.xml" Id="Rb8f9ce0e5a204776" /></Relationships>
</file>