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361afcc7844db8" /></Relationships>
</file>

<file path=word/document.xml><?xml version="1.0" encoding="utf-8"?>
<w:document xmlns:w="http://schemas.openxmlformats.org/wordprocessingml/2006/main">
  <w:body>
    <w:p>
      <w:r>
        <w:t>S-0304.2</w:t>
      </w:r>
    </w:p>
    <w:p>
      <w:pPr>
        <w:jc w:val="center"/>
      </w:pPr>
      <w:r>
        <w:t>_______________________________________________</w:t>
      </w:r>
    </w:p>
    <w:p/>
    <w:p>
      <w:pPr>
        <w:jc w:val="center"/>
      </w:pPr>
      <w:r>
        <w:rPr>
          <w:b/>
        </w:rPr>
        <w:t>SENATE BILL 5108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Billig, Miloscia, Hunt, Palumbo, Liias, Fain, Saldaña, Pedersen, Carlyle, Keiser, Cleveland, Mullet, Conway, and Kuderer</w:t>
      </w:r>
    </w:p>
    <w:p/>
    <w:p>
      <w:r>
        <w:rPr>
          <w:t xml:space="preserve">Read first time 01/12/17.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contributions from political committees to other political committees; amending RCW 42.17A.442;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raises the level of debate, and strengthens our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system. Both passed with more than seventy-two percent of the popular vote, as well as winning margins in every county in the state.</w:t>
      </w:r>
    </w:p>
    <w:p>
      <w:pPr>
        <w:spacing w:before="0" w:after="0" w:line="408" w:lineRule="exact"/>
        <w:ind w:left="0" w:right="0" w:firstLine="576"/>
        <w:jc w:val="left"/>
      </w:pPr>
      <w:r>
        <w:rPr/>
        <w:t xml:space="preserve">One of the cornerstones of Washington state's campaign finance disclosure laws is the requirement that political advertisements disclose the sponsor and the sponsor's top five donors. Many political action committees have avoided this important transparency requirement by funneling money from political action committee to political action committee so the top five donors listed are deceptive political action committee names rather than the real donors. The legislature finds that this practice, sometimes called "gray money" or "donor washing," undermines the intent of Washington state's campaign finance laws and impairs the transparency required for fair elections and a healthy democracy.</w:t>
      </w:r>
    </w:p>
    <w:p>
      <w:pPr>
        <w:spacing w:before="0" w:after="0" w:line="408" w:lineRule="exact"/>
        <w:ind w:left="0" w:right="0" w:firstLine="576"/>
        <w:jc w:val="left"/>
      </w:pPr>
      <w:r>
        <w:rPr/>
        <w:t xml:space="preserve">Therefore, the legislature intends to close this disclosure loophole, increase transparency and accountability, raise the level of discourse, deter corruption, and strengthen confidence in the election process by prohibiting political committees from receiving an overwhelming majority of its funds from one or a combination of political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442</w:t>
      </w:r>
      <w:r>
        <w:rPr/>
        <w:t xml:space="preserve"> and 2011 c 145 s 5 are each amended to read as follows:</w:t>
      </w:r>
    </w:p>
    <w:p>
      <w:pPr>
        <w:spacing w:before="0" w:after="0" w:line="408" w:lineRule="exact"/>
        <w:ind w:left="0" w:right="0" w:firstLine="576"/>
        <w:jc w:val="left"/>
      </w:pPr>
      <w:r>
        <w:rPr>
          <w:u w:val="single"/>
        </w:rPr>
        <w:t xml:space="preserve">(1)</w:t>
      </w:r>
      <w:r>
        <w:rPr/>
        <w:t xml:space="preserve"> A political committee may make a contribution to another political committee only when the contributing political committee has received contributions of ten dollars or more each from at least ten persons registered to vote in Washington state.</w:t>
      </w:r>
    </w:p>
    <w:p>
      <w:pPr>
        <w:spacing w:before="0" w:after="0" w:line="408" w:lineRule="exact"/>
        <w:ind w:left="0" w:right="0" w:firstLine="576"/>
        <w:jc w:val="left"/>
      </w:pPr>
      <w:r>
        <w:rPr>
          <w:u w:val="single"/>
        </w:rPr>
        <w:t xml:space="preserve">(2) A political committee may not receive seventy percent or more of its aggregate contributions from a single political committee, directly, or through any combination of other political committees.</w:t>
      </w:r>
    </w:p>
    <w:p/>
    <w:p>
      <w:pPr>
        <w:jc w:val="center"/>
      </w:pPr>
      <w:r>
        <w:rPr>
          <w:b/>
        </w:rPr>
        <w:t>--- END ---</w:t>
      </w:r>
    </w:p>
    <w:sectPr>
      <w:pgNumType w:start="1"/>
      <w:footerReference xmlns:r="http://schemas.openxmlformats.org/officeDocument/2006/relationships" r:id="R036c9b3a7b4943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36ee75a2ea4c42" /><Relationship Type="http://schemas.openxmlformats.org/officeDocument/2006/relationships/footer" Target="/word/footer.xml" Id="R036c9b3a7b494334" /></Relationships>
</file>