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f62a012fd4f68" /></Relationships>
</file>

<file path=word/document.xml><?xml version="1.0" encoding="utf-8"?>
<w:document xmlns:w="http://schemas.openxmlformats.org/wordprocessingml/2006/main">
  <w:body>
    <w:p>
      <w:r>
        <w:t>S-0391.1</w:t>
      </w:r>
    </w:p>
    <w:p>
      <w:pPr>
        <w:jc w:val="center"/>
      </w:pPr>
      <w:r>
        <w:t>_______________________________________________</w:t>
      </w:r>
    </w:p>
    <w:p/>
    <w:p>
      <w:pPr>
        <w:jc w:val="center"/>
      </w:pPr>
      <w:r>
        <w:rPr>
          <w:b/>
        </w:rPr>
        <w:t>SENATE BILL 5140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Keiser, Frockt, Ranker, Conway, Nelson, Takko, Darneille, Hunt, Palumbo, Chase, Saldaña, Liias, Rolfes, McCoy, Kuderer, Billig, Wellman, Mullet, Carlyle, Hasegawa, and Pedersen</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being discriminated against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or if any employee receives less favorable employment opportunities because of being discriminated against on account of gender, that employee is</w:t>
      </w:r>
      <w:r>
        <w:rPr/>
        <w:t xml:space="preserve"> entitled to recover in a civil action the full amount of compensation that </w:t>
      </w:r>
      <w:r>
        <w:t>((</w:t>
      </w:r>
      <w:r>
        <w:rPr>
          <w:strike/>
        </w:rPr>
        <w:t xml:space="preserve">she</w:t>
      </w:r>
      <w:r>
        <w:t>))</w:t>
      </w:r>
      <w:r>
        <w:rPr/>
        <w:t xml:space="preserve"> </w:t>
      </w:r>
      <w:r>
        <w:rPr>
          <w:u w:val="single"/>
        </w:rPr>
        <w:t xml:space="preserve">the employee</w:t>
      </w:r>
      <w:r>
        <w:rPr/>
        <w:t xml:space="preserve"> would have received had </w:t>
      </w:r>
      <w:r>
        <w:t>((</w:t>
      </w:r>
      <w:r>
        <w:rPr>
          <w:strike/>
        </w:rPr>
        <w:t xml:space="preserve">she</w:t>
      </w:r>
      <w:r>
        <w:t>))</w:t>
      </w:r>
      <w:r>
        <w:rPr/>
        <w:t xml:space="preserve"> </w:t>
      </w:r>
      <w:r>
        <w:rPr>
          <w:u w:val="single"/>
        </w:rPr>
        <w:t xml:space="preserve">the employee</w:t>
      </w:r>
      <w:r>
        <w:rPr/>
        <w:t xml:space="preserve"> not been discriminated against. </w:t>
      </w:r>
      <w:r>
        <w:rPr>
          <w:u w:val="single"/>
        </w:rPr>
        <w:t xml:space="preserve">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t xml:space="preserve"> </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consistent with business necessity and is not based on or derived from a sex-based differential,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assigning work less likely to lead to promotion or future opportunities, placement in positions with lower pay or a lower pay scale, or placement in positions with fewer benefits, including less available hours, flexibility, and autonomy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0" w:after="0" w:line="408" w:lineRule="exact"/>
        <w:ind w:left="0" w:right="0" w:firstLine="576"/>
        <w:jc w:val="left"/>
      </w:pPr>
      <w:r>
        <w:rPr/>
        <w:t xml:space="preserve">(3) An employer may prohibit a human resources manager from disclosing the wages of other employees unless the disclosure is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 (1) Upon complaint by an employee, the director may investigate to determine if there has been compliance with RCW 49.12.175 (as recodified by this act), sections 4 and 5 of this act, and the rules adopted under this chapter. The director may also initiate an investigation on behalf of one or more employees for a violation of RCW 49.12.175 (as recodified by this act), sections 4 and 5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has good cause to believe the employer has a pattern of complaints or violations of RCW 49.12.175 (as recodified by this act), the director may require the provision of data to the department, including data identifying the sex, race, compensation, and job classifications of employees. An employer who fails to provide the data required under this subsection within a reasonable time period may not use such data in any appeal to challenge the correctness of any determination by the department following an investigation of a pattern of complaints or violations.</w:t>
      </w:r>
    </w:p>
    <w:p>
      <w:pPr>
        <w:spacing w:before="0" w:after="0" w:line="408" w:lineRule="exact"/>
        <w:ind w:left="0" w:right="0" w:firstLine="576"/>
        <w:jc w:val="left"/>
      </w:pPr>
      <w:r>
        <w:rPr/>
        <w:t xml:space="preserve">(3) If the director determines that a violation occurred, the director may order the employer to pay to the complainant actual damages; statutory damages of twice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and payment to the department of the costs of investigation and enforcement, and may order any other appropriate relief.</w:t>
      </w:r>
    </w:p>
    <w:p>
      <w:pPr>
        <w:spacing w:before="0" w:after="0" w:line="408" w:lineRule="exact"/>
        <w:ind w:left="0" w:right="0" w:firstLine="576"/>
        <w:jc w:val="left"/>
      </w:pPr>
      <w:r>
        <w:rPr/>
        <w:t xml:space="preserve">(4)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(5)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10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064cde48b75440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5704a38ff42fb" /><Relationship Type="http://schemas.openxmlformats.org/officeDocument/2006/relationships/footer" Target="/word/footer.xml" Id="R064cde48b754405a" /></Relationships>
</file>