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1ec50115841ed" /></Relationships>
</file>

<file path=word/document.xml><?xml version="1.0" encoding="utf-8"?>
<w:document xmlns:w="http://schemas.openxmlformats.org/wordprocessingml/2006/main">
  <w:body>
    <w:p>
      <w:r>
        <w:t>S-0788.1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5154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Transportation (originally sponsored by Senators Fain, Hobbs, Liias, Zeiger, Billig, Wilson, and Kuderer)</w:t>
      </w:r>
    </w:p>
    <w:p/>
    <w:p>
      <w:r>
        <w:rPr>
          <w:t xml:space="preserve">READ FIRST TIME 02/02/17.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driver's license formats for persons approaching twenty-one years of age; amending RCW 46.20.105;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105</w:t>
      </w:r>
      <w:r>
        <w:rPr/>
        <w:t xml:space="preserve"> and 2000 c 115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The department may provide a method to distinguish the driver's license of a person who is under the age of twenty-one from the driver's license of a person who is twenty-one years of age or older.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department must allow for a person who applies to renew his or her driver's license within one week of his or her twenty-first birthday to convert the driver's license to the format of a driver's license for a person who is twenty-one years of age or older.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instruction permit must be identified as an "instruction permit" and issued in a distinctive form as determined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intermediate license must be identified as an "intermediate license" and issued in a distinctive form as determined by the department.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2ff0565a96f427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5154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893b70e154298" /><Relationship Type="http://schemas.openxmlformats.org/officeDocument/2006/relationships/footer" Target="/word/footer.xml" Id="Re2ff0565a96f427b" /></Relationships>
</file>