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8335f8c3e4359" /></Relationships>
</file>

<file path=word/document.xml><?xml version="1.0" encoding="utf-8"?>
<w:document xmlns:w="http://schemas.openxmlformats.org/wordprocessingml/2006/main">
  <w:body>
    <w:p>
      <w:r>
        <w:t>S-0632.1</w:t>
      </w:r>
    </w:p>
    <w:p>
      <w:pPr>
        <w:jc w:val="center"/>
      </w:pPr>
      <w:r>
        <w:t>_______________________________________________</w:t>
      </w:r>
    </w:p>
    <w:p/>
    <w:p>
      <w:pPr>
        <w:jc w:val="center"/>
      </w:pPr>
      <w:r>
        <w:rPr>
          <w:b/>
        </w:rPr>
        <w:t>SENATE BILL 5163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Frockt, Conway, Liias, Darneille, and Wellman</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unknown changes to the federal affordable care act and the four-year balanced budget requirement; amending RCW 43.88.055;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2017 congress is currently debating the repeal of the federal patient protection and affordable care act, which may create significant changes in coverage for state residents and a sizable budgetary impact that may be as much as three billion dollars a year in federal medicaid funding, as well as funding for other coverage programs. Congress has not yet provided any detailed overview of their intentions and the time frames for program and budgetary changes. Any attempt to budget for unknown reductions and project a four-year outlook is impossible without detailed information from congress. To ensure budget stability and allow the most judicious consideration of potential impacts to the state budget, the legislature therefore intends to provide an exemption from the four-year outlook requirements for the medicaid budget until such time that detailed budgetary and programmatic impacts are made in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r>
        <w:rPr>
          <w:u w:val="single"/>
        </w:rPr>
        <w:t xml:space="preserve">, and for the 2017-2019 and 2019-2021 fiscal biennia the costs related to maintaining medicaid programs, services, and eligibility until detailed budgetary and programmatic changes are made in federal law</w:t>
      </w:r>
      <w:r>
        <w:rPr/>
        <w:t xml:space="preserve">;</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
      <w:pPr>
        <w:jc w:val="center"/>
      </w:pPr>
      <w:r>
        <w:rPr>
          <w:b/>
        </w:rPr>
        <w:t>--- END ---</w:t>
      </w:r>
    </w:p>
    <w:sectPr>
      <w:pgNumType w:start="1"/>
      <w:footerReference xmlns:r="http://schemas.openxmlformats.org/officeDocument/2006/relationships" r:id="R599e4e21e90e48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8372c25854ed5" /><Relationship Type="http://schemas.openxmlformats.org/officeDocument/2006/relationships/footer" Target="/word/footer.xml" Id="R599e4e21e90e48c5" /></Relationships>
</file>