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3dec2c99bd473c" /></Relationships>
</file>

<file path=word/document.xml><?xml version="1.0" encoding="utf-8"?>
<w:document xmlns:w="http://schemas.openxmlformats.org/wordprocessingml/2006/main">
  <w:body>
    <w:p>
      <w:r>
        <w:t>S-1008.1</w:t>
      </w:r>
    </w:p>
    <w:p>
      <w:pPr>
        <w:jc w:val="center"/>
      </w:pPr>
      <w:r>
        <w:t>_______________________________________________</w:t>
      </w:r>
    </w:p>
    <w:p/>
    <w:p>
      <w:pPr>
        <w:jc w:val="center"/>
      </w:pPr>
      <w:r>
        <w:rPr>
          <w:b/>
        </w:rPr>
        <w:t>SUBSTITUTE SENATE BILL 5185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Wilson, Mullet, and Palumbo)</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liability for professional or trade associations providing emergency response volunteers; and amending RCW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2016 c 84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w:t>
      </w:r>
      <w:r>
        <w:t>((</w:t>
      </w:r>
      <w:r>
        <w:rPr>
          <w:strike/>
        </w:rPr>
        <w:t xml:space="preserve">and</w:t>
      </w:r>
      <w:r>
        <w:t>))</w:t>
      </w:r>
    </w:p>
    <w:p>
      <w:pPr>
        <w:spacing w:before="0" w:after="0" w:line="408" w:lineRule="exact"/>
        <w:ind w:left="0" w:right="0" w:firstLine="576"/>
        <w:jc w:val="left"/>
      </w:pPr>
      <w:r>
        <w:rPr/>
        <w:t xml:space="preserve">(g) The state or any state or local governmental entity</w:t>
      </w:r>
      <w:r>
        <w:rPr>
          <w:u w:val="single"/>
        </w:rPr>
        <w:t xml:space="preserve">; and</w:t>
      </w:r>
    </w:p>
    <w:p>
      <w:pPr>
        <w:spacing w:before="0" w:after="0" w:line="408" w:lineRule="exact"/>
        <w:ind w:left="0" w:right="0" w:firstLine="576"/>
        <w:jc w:val="left"/>
      </w:pPr>
      <w:r>
        <w:rPr>
          <w:u w:val="single"/>
        </w:rPr>
        <w:t xml:space="preserve">(h) Any professional or trade association of covered volunteer emergency workers</w:t>
      </w:r>
      <w:r>
        <w:rPr/>
        <w:t xml:space="preserve">.</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b965e1f94dd643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0c39ce179418b" /><Relationship Type="http://schemas.openxmlformats.org/officeDocument/2006/relationships/footer" Target="/word/footer.xml" Id="Rb965e1f94dd64378" /></Relationships>
</file>